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933D6"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BALANÇO PATRIMONIAL EM 31.12.2025</w:t>
      </w:r>
    </w:p>
    <w:p w14:paraId="4CC6634C" w14:textId="77777777" w:rsidR="00A80C8F" w:rsidRDefault="00A80C8F"/>
    <w:tbl>
      <w:tblPr>
        <w:tblW w:w="5000" w:type="pct"/>
        <w:tblCellMar>
          <w:left w:w="70" w:type="dxa"/>
          <w:right w:w="70" w:type="dxa"/>
        </w:tblCellMar>
        <w:tblLook w:val="04A0" w:firstRow="1" w:lastRow="0" w:firstColumn="1" w:lastColumn="0" w:noHBand="0" w:noVBand="1"/>
      </w:tblPr>
      <w:tblGrid>
        <w:gridCol w:w="5394"/>
        <w:gridCol w:w="777"/>
        <w:gridCol w:w="2095"/>
        <w:gridCol w:w="2200"/>
      </w:tblGrid>
      <w:tr w:rsidR="00D87550" w:rsidRPr="00D87550" w14:paraId="20488DED" w14:textId="77777777" w:rsidTr="00D87550">
        <w:trPr>
          <w:trHeight w:val="323"/>
        </w:trPr>
        <w:tc>
          <w:tcPr>
            <w:tcW w:w="2577" w:type="pct"/>
            <w:tcBorders>
              <w:top w:val="nil"/>
              <w:left w:val="nil"/>
              <w:bottom w:val="nil"/>
              <w:right w:val="nil"/>
            </w:tcBorders>
            <w:noWrap/>
            <w:vAlign w:val="center"/>
            <w:hideMark/>
          </w:tcPr>
          <w:p w14:paraId="71DC2A2E"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ATIVO</w:t>
            </w:r>
          </w:p>
        </w:tc>
        <w:tc>
          <w:tcPr>
            <w:tcW w:w="371" w:type="pct"/>
            <w:tcBorders>
              <w:top w:val="nil"/>
              <w:left w:val="nil"/>
              <w:bottom w:val="nil"/>
              <w:right w:val="nil"/>
            </w:tcBorders>
            <w:noWrap/>
            <w:vAlign w:val="center"/>
            <w:hideMark/>
          </w:tcPr>
          <w:p w14:paraId="264B232B" w14:textId="77777777" w:rsidR="00D87550" w:rsidRPr="00D87550" w:rsidRDefault="00D87550" w:rsidP="00D87550">
            <w:pPr>
              <w:spacing w:after="0" w:line="240" w:lineRule="auto"/>
              <w:jc w:val="center"/>
              <w:rPr>
                <w:rFonts w:ascii="Century" w:eastAsia="Times New Roman" w:hAnsi="Century" w:cs="Calibri"/>
                <w:b/>
                <w:bCs/>
                <w:sz w:val="20"/>
                <w:szCs w:val="20"/>
                <w:lang w:eastAsia="pt-BR"/>
              </w:rPr>
            </w:pPr>
            <w:r w:rsidRPr="00D87550">
              <w:rPr>
                <w:rFonts w:ascii="Century" w:eastAsia="Times New Roman" w:hAnsi="Century" w:cs="Calibri"/>
                <w:b/>
                <w:bCs/>
                <w:sz w:val="20"/>
                <w:szCs w:val="20"/>
                <w:lang w:eastAsia="pt-BR"/>
              </w:rPr>
              <w:t>Nota</w:t>
            </w:r>
          </w:p>
        </w:tc>
        <w:tc>
          <w:tcPr>
            <w:tcW w:w="1001" w:type="pct"/>
            <w:tcBorders>
              <w:top w:val="nil"/>
              <w:left w:val="nil"/>
              <w:bottom w:val="nil"/>
              <w:right w:val="nil"/>
            </w:tcBorders>
            <w:noWrap/>
            <w:vAlign w:val="center"/>
            <w:hideMark/>
          </w:tcPr>
          <w:p w14:paraId="2B90F739" w14:textId="77777777" w:rsidR="00D87550" w:rsidRPr="00D87550" w:rsidRDefault="00D87550" w:rsidP="00D87550">
            <w:pPr>
              <w:spacing w:after="0" w:line="240" w:lineRule="auto"/>
              <w:jc w:val="center"/>
              <w:rPr>
                <w:rFonts w:ascii="Century" w:eastAsia="Times New Roman" w:hAnsi="Century" w:cs="Calibri"/>
                <w:b/>
                <w:bCs/>
                <w:sz w:val="20"/>
                <w:szCs w:val="20"/>
                <w:lang w:eastAsia="pt-BR"/>
              </w:rPr>
            </w:pPr>
            <w:r w:rsidRPr="00D87550">
              <w:rPr>
                <w:rFonts w:ascii="Century" w:eastAsia="Times New Roman" w:hAnsi="Century" w:cs="Calibri"/>
                <w:b/>
                <w:bCs/>
                <w:sz w:val="20"/>
                <w:szCs w:val="20"/>
                <w:lang w:eastAsia="pt-BR"/>
              </w:rPr>
              <w:t>2.025</w:t>
            </w:r>
          </w:p>
        </w:tc>
        <w:tc>
          <w:tcPr>
            <w:tcW w:w="1051" w:type="pct"/>
            <w:tcBorders>
              <w:top w:val="nil"/>
              <w:left w:val="nil"/>
              <w:bottom w:val="nil"/>
              <w:right w:val="nil"/>
            </w:tcBorders>
            <w:noWrap/>
            <w:vAlign w:val="center"/>
            <w:hideMark/>
          </w:tcPr>
          <w:p w14:paraId="73690DEF"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2024</w:t>
            </w:r>
          </w:p>
        </w:tc>
      </w:tr>
      <w:tr w:rsidR="00D87550" w:rsidRPr="00D87550" w14:paraId="59094FFD" w14:textId="77777777" w:rsidTr="00D87550">
        <w:trPr>
          <w:trHeight w:val="323"/>
        </w:trPr>
        <w:tc>
          <w:tcPr>
            <w:tcW w:w="2577" w:type="pct"/>
            <w:tcBorders>
              <w:top w:val="nil"/>
              <w:left w:val="nil"/>
              <w:bottom w:val="nil"/>
              <w:right w:val="nil"/>
            </w:tcBorders>
            <w:noWrap/>
            <w:vAlign w:val="center"/>
            <w:hideMark/>
          </w:tcPr>
          <w:p w14:paraId="1A797991"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p>
        </w:tc>
        <w:tc>
          <w:tcPr>
            <w:tcW w:w="371" w:type="pct"/>
            <w:tcBorders>
              <w:top w:val="nil"/>
              <w:left w:val="nil"/>
              <w:bottom w:val="nil"/>
              <w:right w:val="nil"/>
            </w:tcBorders>
            <w:noWrap/>
            <w:vAlign w:val="center"/>
            <w:hideMark/>
          </w:tcPr>
          <w:p w14:paraId="4139798E" w14:textId="77777777" w:rsidR="00D87550" w:rsidRPr="00D87550" w:rsidRDefault="00D87550" w:rsidP="00D87550">
            <w:pPr>
              <w:spacing w:after="0" w:line="240" w:lineRule="auto"/>
              <w:jc w:val="right"/>
              <w:rPr>
                <w:rFonts w:ascii="Times New Roman" w:eastAsia="Times New Roman" w:hAnsi="Times New Roman" w:cs="Times New Roman"/>
                <w:sz w:val="20"/>
                <w:szCs w:val="20"/>
                <w:lang w:eastAsia="pt-BR"/>
              </w:rPr>
            </w:pPr>
          </w:p>
        </w:tc>
        <w:tc>
          <w:tcPr>
            <w:tcW w:w="1001" w:type="pct"/>
            <w:tcBorders>
              <w:top w:val="nil"/>
              <w:left w:val="nil"/>
              <w:bottom w:val="nil"/>
              <w:right w:val="nil"/>
            </w:tcBorders>
            <w:noWrap/>
            <w:vAlign w:val="center"/>
            <w:hideMark/>
          </w:tcPr>
          <w:p w14:paraId="54F91A2C"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1051" w:type="pct"/>
            <w:tcBorders>
              <w:top w:val="nil"/>
              <w:left w:val="nil"/>
              <w:bottom w:val="nil"/>
              <w:right w:val="nil"/>
            </w:tcBorders>
            <w:noWrap/>
            <w:vAlign w:val="center"/>
            <w:hideMark/>
          </w:tcPr>
          <w:p w14:paraId="736DDECD"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0B7B44E0" w14:textId="77777777" w:rsidTr="00D87550">
        <w:trPr>
          <w:trHeight w:val="323"/>
        </w:trPr>
        <w:tc>
          <w:tcPr>
            <w:tcW w:w="2577" w:type="pct"/>
            <w:tcBorders>
              <w:top w:val="nil"/>
              <w:left w:val="nil"/>
              <w:bottom w:val="nil"/>
              <w:right w:val="nil"/>
            </w:tcBorders>
            <w:noWrap/>
            <w:vAlign w:val="center"/>
            <w:hideMark/>
          </w:tcPr>
          <w:p w14:paraId="554E7DF1"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CIRCULANTE</w:t>
            </w:r>
          </w:p>
        </w:tc>
        <w:tc>
          <w:tcPr>
            <w:tcW w:w="371" w:type="pct"/>
            <w:tcBorders>
              <w:top w:val="nil"/>
              <w:left w:val="nil"/>
              <w:bottom w:val="nil"/>
              <w:right w:val="nil"/>
            </w:tcBorders>
            <w:noWrap/>
            <w:vAlign w:val="center"/>
            <w:hideMark/>
          </w:tcPr>
          <w:p w14:paraId="3F426902"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p>
        </w:tc>
        <w:tc>
          <w:tcPr>
            <w:tcW w:w="1001" w:type="pct"/>
            <w:tcBorders>
              <w:top w:val="nil"/>
              <w:left w:val="nil"/>
              <w:bottom w:val="nil"/>
              <w:right w:val="nil"/>
            </w:tcBorders>
            <w:noWrap/>
            <w:vAlign w:val="center"/>
            <w:hideMark/>
          </w:tcPr>
          <w:p w14:paraId="71C33F20"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1051" w:type="pct"/>
            <w:tcBorders>
              <w:top w:val="nil"/>
              <w:left w:val="nil"/>
              <w:bottom w:val="nil"/>
              <w:right w:val="nil"/>
            </w:tcBorders>
            <w:noWrap/>
            <w:vAlign w:val="center"/>
            <w:hideMark/>
          </w:tcPr>
          <w:p w14:paraId="6A59A0D0"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489CFE11" w14:textId="77777777" w:rsidTr="00D87550">
        <w:trPr>
          <w:trHeight w:val="323"/>
        </w:trPr>
        <w:tc>
          <w:tcPr>
            <w:tcW w:w="2577" w:type="pct"/>
            <w:tcBorders>
              <w:top w:val="nil"/>
              <w:left w:val="nil"/>
              <w:bottom w:val="nil"/>
              <w:right w:val="nil"/>
            </w:tcBorders>
            <w:noWrap/>
            <w:vAlign w:val="center"/>
            <w:hideMark/>
          </w:tcPr>
          <w:p w14:paraId="130DFBC7"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Caixa e equivalentes de caixa</w:t>
            </w:r>
          </w:p>
        </w:tc>
        <w:tc>
          <w:tcPr>
            <w:tcW w:w="371" w:type="pct"/>
            <w:tcBorders>
              <w:top w:val="nil"/>
              <w:left w:val="nil"/>
              <w:bottom w:val="nil"/>
              <w:right w:val="nil"/>
            </w:tcBorders>
            <w:noWrap/>
            <w:vAlign w:val="center"/>
            <w:hideMark/>
          </w:tcPr>
          <w:p w14:paraId="1A80AFD3"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4</w:t>
            </w:r>
          </w:p>
        </w:tc>
        <w:tc>
          <w:tcPr>
            <w:tcW w:w="1001" w:type="pct"/>
            <w:tcBorders>
              <w:top w:val="nil"/>
              <w:left w:val="nil"/>
              <w:bottom w:val="nil"/>
              <w:right w:val="nil"/>
            </w:tcBorders>
            <w:noWrap/>
            <w:vAlign w:val="center"/>
            <w:hideMark/>
          </w:tcPr>
          <w:p w14:paraId="55E603C6"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21.066.343</w:t>
            </w:r>
          </w:p>
        </w:tc>
        <w:tc>
          <w:tcPr>
            <w:tcW w:w="1051" w:type="pct"/>
            <w:tcBorders>
              <w:top w:val="nil"/>
              <w:left w:val="nil"/>
              <w:bottom w:val="nil"/>
              <w:right w:val="nil"/>
            </w:tcBorders>
            <w:noWrap/>
            <w:vAlign w:val="center"/>
            <w:hideMark/>
          </w:tcPr>
          <w:p w14:paraId="742B9FC3"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18.276.183 </w:t>
            </w:r>
          </w:p>
        </w:tc>
      </w:tr>
      <w:tr w:rsidR="00D87550" w:rsidRPr="00D87550" w14:paraId="2A4E1C67" w14:textId="77777777" w:rsidTr="00D87550">
        <w:trPr>
          <w:trHeight w:val="323"/>
        </w:trPr>
        <w:tc>
          <w:tcPr>
            <w:tcW w:w="2577" w:type="pct"/>
            <w:tcBorders>
              <w:top w:val="nil"/>
              <w:left w:val="nil"/>
              <w:bottom w:val="nil"/>
              <w:right w:val="nil"/>
            </w:tcBorders>
            <w:noWrap/>
            <w:vAlign w:val="center"/>
            <w:hideMark/>
          </w:tcPr>
          <w:p w14:paraId="49CBA053"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Adiantamentos</w:t>
            </w:r>
          </w:p>
        </w:tc>
        <w:tc>
          <w:tcPr>
            <w:tcW w:w="371" w:type="pct"/>
            <w:tcBorders>
              <w:top w:val="nil"/>
              <w:left w:val="nil"/>
              <w:bottom w:val="nil"/>
              <w:right w:val="nil"/>
            </w:tcBorders>
            <w:noWrap/>
            <w:vAlign w:val="center"/>
            <w:hideMark/>
          </w:tcPr>
          <w:p w14:paraId="23D27B4D"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5</w:t>
            </w:r>
          </w:p>
        </w:tc>
        <w:tc>
          <w:tcPr>
            <w:tcW w:w="1001" w:type="pct"/>
            <w:tcBorders>
              <w:top w:val="nil"/>
              <w:left w:val="nil"/>
              <w:bottom w:val="nil"/>
              <w:right w:val="nil"/>
            </w:tcBorders>
            <w:noWrap/>
            <w:vAlign w:val="center"/>
            <w:hideMark/>
          </w:tcPr>
          <w:p w14:paraId="5CD10912"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107.517</w:t>
            </w:r>
          </w:p>
        </w:tc>
        <w:tc>
          <w:tcPr>
            <w:tcW w:w="1051" w:type="pct"/>
            <w:tcBorders>
              <w:top w:val="nil"/>
              <w:left w:val="nil"/>
              <w:bottom w:val="nil"/>
              <w:right w:val="nil"/>
            </w:tcBorders>
            <w:noWrap/>
            <w:vAlign w:val="center"/>
            <w:hideMark/>
          </w:tcPr>
          <w:p w14:paraId="5A55D80C"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97.231 </w:t>
            </w:r>
          </w:p>
        </w:tc>
      </w:tr>
      <w:tr w:rsidR="00D87550" w:rsidRPr="00D87550" w14:paraId="15EF1878" w14:textId="77777777" w:rsidTr="00D87550">
        <w:trPr>
          <w:trHeight w:val="323"/>
        </w:trPr>
        <w:tc>
          <w:tcPr>
            <w:tcW w:w="2577" w:type="pct"/>
            <w:tcBorders>
              <w:top w:val="nil"/>
              <w:left w:val="nil"/>
              <w:bottom w:val="nil"/>
              <w:right w:val="nil"/>
            </w:tcBorders>
            <w:noWrap/>
            <w:vAlign w:val="center"/>
            <w:hideMark/>
          </w:tcPr>
          <w:p w14:paraId="11A45F4E"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Prestações a receber</w:t>
            </w:r>
          </w:p>
        </w:tc>
        <w:tc>
          <w:tcPr>
            <w:tcW w:w="371" w:type="pct"/>
            <w:tcBorders>
              <w:top w:val="nil"/>
              <w:left w:val="nil"/>
              <w:bottom w:val="nil"/>
              <w:right w:val="nil"/>
            </w:tcBorders>
            <w:noWrap/>
            <w:vAlign w:val="center"/>
            <w:hideMark/>
          </w:tcPr>
          <w:p w14:paraId="69E8FC8A"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8</w:t>
            </w:r>
          </w:p>
        </w:tc>
        <w:tc>
          <w:tcPr>
            <w:tcW w:w="1001" w:type="pct"/>
            <w:tcBorders>
              <w:top w:val="nil"/>
              <w:left w:val="nil"/>
              <w:bottom w:val="nil"/>
              <w:right w:val="nil"/>
            </w:tcBorders>
            <w:noWrap/>
            <w:vAlign w:val="center"/>
            <w:hideMark/>
          </w:tcPr>
          <w:p w14:paraId="2A2D25BB"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5.647.488</w:t>
            </w:r>
          </w:p>
        </w:tc>
        <w:tc>
          <w:tcPr>
            <w:tcW w:w="1051" w:type="pct"/>
            <w:tcBorders>
              <w:top w:val="nil"/>
              <w:left w:val="nil"/>
              <w:bottom w:val="nil"/>
              <w:right w:val="nil"/>
            </w:tcBorders>
            <w:noWrap/>
            <w:vAlign w:val="center"/>
            <w:hideMark/>
          </w:tcPr>
          <w:p w14:paraId="210D4A7B"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5.647.488 </w:t>
            </w:r>
          </w:p>
        </w:tc>
      </w:tr>
      <w:tr w:rsidR="00D87550" w:rsidRPr="00D87550" w14:paraId="13CFBE9C" w14:textId="77777777" w:rsidTr="00D87550">
        <w:trPr>
          <w:trHeight w:val="323"/>
        </w:trPr>
        <w:tc>
          <w:tcPr>
            <w:tcW w:w="2577" w:type="pct"/>
            <w:tcBorders>
              <w:top w:val="nil"/>
              <w:left w:val="nil"/>
              <w:bottom w:val="nil"/>
              <w:right w:val="nil"/>
            </w:tcBorders>
            <w:noWrap/>
            <w:vAlign w:val="center"/>
            <w:hideMark/>
          </w:tcPr>
          <w:p w14:paraId="108A6786"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Impostos a recuperar</w:t>
            </w:r>
          </w:p>
        </w:tc>
        <w:tc>
          <w:tcPr>
            <w:tcW w:w="371" w:type="pct"/>
            <w:tcBorders>
              <w:top w:val="nil"/>
              <w:left w:val="nil"/>
              <w:bottom w:val="nil"/>
              <w:right w:val="nil"/>
            </w:tcBorders>
            <w:noWrap/>
            <w:vAlign w:val="center"/>
            <w:hideMark/>
          </w:tcPr>
          <w:p w14:paraId="28B22E70"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12</w:t>
            </w:r>
          </w:p>
        </w:tc>
        <w:tc>
          <w:tcPr>
            <w:tcW w:w="1001" w:type="pct"/>
            <w:tcBorders>
              <w:top w:val="nil"/>
              <w:left w:val="nil"/>
              <w:bottom w:val="nil"/>
              <w:right w:val="nil"/>
            </w:tcBorders>
            <w:noWrap/>
            <w:vAlign w:val="center"/>
            <w:hideMark/>
          </w:tcPr>
          <w:p w14:paraId="56AC3F59"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4.757.701</w:t>
            </w:r>
          </w:p>
        </w:tc>
        <w:tc>
          <w:tcPr>
            <w:tcW w:w="1051" w:type="pct"/>
            <w:tcBorders>
              <w:top w:val="nil"/>
              <w:left w:val="nil"/>
              <w:bottom w:val="nil"/>
              <w:right w:val="nil"/>
            </w:tcBorders>
            <w:noWrap/>
            <w:vAlign w:val="center"/>
            <w:hideMark/>
          </w:tcPr>
          <w:p w14:paraId="2907302C"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5.379.606 </w:t>
            </w:r>
          </w:p>
        </w:tc>
      </w:tr>
      <w:tr w:rsidR="00D87550" w:rsidRPr="00D87550" w14:paraId="03522352" w14:textId="77777777" w:rsidTr="00D87550">
        <w:trPr>
          <w:trHeight w:val="323"/>
        </w:trPr>
        <w:tc>
          <w:tcPr>
            <w:tcW w:w="2577" w:type="pct"/>
            <w:tcBorders>
              <w:top w:val="nil"/>
              <w:left w:val="nil"/>
              <w:bottom w:val="nil"/>
              <w:right w:val="nil"/>
            </w:tcBorders>
            <w:noWrap/>
            <w:vAlign w:val="center"/>
            <w:hideMark/>
          </w:tcPr>
          <w:p w14:paraId="23D02A1C"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Estoques</w:t>
            </w:r>
          </w:p>
        </w:tc>
        <w:tc>
          <w:tcPr>
            <w:tcW w:w="371" w:type="pct"/>
            <w:tcBorders>
              <w:top w:val="nil"/>
              <w:left w:val="nil"/>
              <w:bottom w:val="nil"/>
              <w:right w:val="nil"/>
            </w:tcBorders>
            <w:noWrap/>
            <w:vAlign w:val="center"/>
            <w:hideMark/>
          </w:tcPr>
          <w:p w14:paraId="03EC39EF"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13</w:t>
            </w:r>
          </w:p>
        </w:tc>
        <w:tc>
          <w:tcPr>
            <w:tcW w:w="1001" w:type="pct"/>
            <w:tcBorders>
              <w:top w:val="nil"/>
              <w:left w:val="nil"/>
              <w:bottom w:val="nil"/>
              <w:right w:val="nil"/>
            </w:tcBorders>
            <w:noWrap/>
            <w:vAlign w:val="center"/>
            <w:hideMark/>
          </w:tcPr>
          <w:p w14:paraId="18773D6C"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55.196</w:t>
            </w:r>
          </w:p>
        </w:tc>
        <w:tc>
          <w:tcPr>
            <w:tcW w:w="1051" w:type="pct"/>
            <w:tcBorders>
              <w:top w:val="nil"/>
              <w:left w:val="nil"/>
              <w:bottom w:val="nil"/>
              <w:right w:val="nil"/>
            </w:tcBorders>
            <w:noWrap/>
            <w:vAlign w:val="center"/>
            <w:hideMark/>
          </w:tcPr>
          <w:p w14:paraId="317C2988"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85.709 </w:t>
            </w:r>
          </w:p>
        </w:tc>
      </w:tr>
      <w:tr w:rsidR="00D87550" w:rsidRPr="00D87550" w14:paraId="7818522B" w14:textId="77777777" w:rsidTr="00D87550">
        <w:trPr>
          <w:trHeight w:val="323"/>
        </w:trPr>
        <w:tc>
          <w:tcPr>
            <w:tcW w:w="2577" w:type="pct"/>
            <w:tcBorders>
              <w:top w:val="nil"/>
              <w:left w:val="nil"/>
              <w:bottom w:val="nil"/>
              <w:right w:val="nil"/>
            </w:tcBorders>
            <w:noWrap/>
            <w:vAlign w:val="center"/>
            <w:hideMark/>
          </w:tcPr>
          <w:p w14:paraId="0121BD43"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Contas a Receber de Clientes</w:t>
            </w:r>
          </w:p>
        </w:tc>
        <w:tc>
          <w:tcPr>
            <w:tcW w:w="371" w:type="pct"/>
            <w:tcBorders>
              <w:top w:val="nil"/>
              <w:left w:val="nil"/>
              <w:bottom w:val="nil"/>
              <w:right w:val="nil"/>
            </w:tcBorders>
            <w:noWrap/>
            <w:vAlign w:val="center"/>
            <w:hideMark/>
          </w:tcPr>
          <w:p w14:paraId="066656DD"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14</w:t>
            </w:r>
          </w:p>
        </w:tc>
        <w:tc>
          <w:tcPr>
            <w:tcW w:w="1001" w:type="pct"/>
            <w:tcBorders>
              <w:top w:val="nil"/>
              <w:left w:val="nil"/>
              <w:bottom w:val="nil"/>
              <w:right w:val="nil"/>
            </w:tcBorders>
            <w:noWrap/>
            <w:vAlign w:val="center"/>
            <w:hideMark/>
          </w:tcPr>
          <w:p w14:paraId="1F1F0425"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2.374.427</w:t>
            </w:r>
          </w:p>
        </w:tc>
        <w:tc>
          <w:tcPr>
            <w:tcW w:w="1051" w:type="pct"/>
            <w:tcBorders>
              <w:top w:val="nil"/>
              <w:left w:val="nil"/>
              <w:bottom w:val="nil"/>
              <w:right w:val="nil"/>
            </w:tcBorders>
            <w:noWrap/>
            <w:vAlign w:val="center"/>
            <w:hideMark/>
          </w:tcPr>
          <w:p w14:paraId="03EEB813"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519.150 </w:t>
            </w:r>
          </w:p>
        </w:tc>
      </w:tr>
      <w:tr w:rsidR="00D87550" w:rsidRPr="00D87550" w14:paraId="1AD0ECBF" w14:textId="77777777" w:rsidTr="00D87550">
        <w:trPr>
          <w:trHeight w:val="323"/>
        </w:trPr>
        <w:tc>
          <w:tcPr>
            <w:tcW w:w="2577" w:type="pct"/>
            <w:tcBorders>
              <w:top w:val="nil"/>
              <w:left w:val="nil"/>
              <w:bottom w:val="nil"/>
              <w:right w:val="nil"/>
            </w:tcBorders>
            <w:noWrap/>
            <w:vAlign w:val="center"/>
            <w:hideMark/>
          </w:tcPr>
          <w:p w14:paraId="58152E56"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Valores devedores transitórios</w:t>
            </w:r>
          </w:p>
        </w:tc>
        <w:tc>
          <w:tcPr>
            <w:tcW w:w="371" w:type="pct"/>
            <w:tcBorders>
              <w:top w:val="nil"/>
              <w:left w:val="nil"/>
              <w:bottom w:val="nil"/>
              <w:right w:val="nil"/>
            </w:tcBorders>
            <w:noWrap/>
            <w:vAlign w:val="center"/>
            <w:hideMark/>
          </w:tcPr>
          <w:p w14:paraId="3F9F76AE"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16</w:t>
            </w:r>
          </w:p>
        </w:tc>
        <w:tc>
          <w:tcPr>
            <w:tcW w:w="1001" w:type="pct"/>
            <w:tcBorders>
              <w:top w:val="nil"/>
              <w:left w:val="nil"/>
              <w:bottom w:val="nil"/>
              <w:right w:val="nil"/>
            </w:tcBorders>
            <w:noWrap/>
            <w:vAlign w:val="center"/>
            <w:hideMark/>
          </w:tcPr>
          <w:p w14:paraId="6398B817"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103.621</w:t>
            </w:r>
          </w:p>
        </w:tc>
        <w:tc>
          <w:tcPr>
            <w:tcW w:w="1051" w:type="pct"/>
            <w:tcBorders>
              <w:top w:val="nil"/>
              <w:left w:val="nil"/>
              <w:bottom w:val="nil"/>
              <w:right w:val="nil"/>
            </w:tcBorders>
            <w:noWrap/>
            <w:vAlign w:val="center"/>
            <w:hideMark/>
          </w:tcPr>
          <w:p w14:paraId="74DB441C"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103.771 </w:t>
            </w:r>
          </w:p>
        </w:tc>
      </w:tr>
      <w:tr w:rsidR="00D87550" w:rsidRPr="00D87550" w14:paraId="1926D2CD" w14:textId="77777777" w:rsidTr="00D87550">
        <w:trPr>
          <w:trHeight w:val="323"/>
        </w:trPr>
        <w:tc>
          <w:tcPr>
            <w:tcW w:w="2577" w:type="pct"/>
            <w:tcBorders>
              <w:top w:val="nil"/>
              <w:left w:val="nil"/>
              <w:bottom w:val="nil"/>
              <w:right w:val="nil"/>
            </w:tcBorders>
            <w:noWrap/>
            <w:vAlign w:val="center"/>
            <w:hideMark/>
          </w:tcPr>
          <w:p w14:paraId="5C17178E"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Despesas antecipadas</w:t>
            </w:r>
          </w:p>
        </w:tc>
        <w:tc>
          <w:tcPr>
            <w:tcW w:w="371" w:type="pct"/>
            <w:tcBorders>
              <w:top w:val="nil"/>
              <w:left w:val="nil"/>
              <w:bottom w:val="nil"/>
              <w:right w:val="nil"/>
            </w:tcBorders>
            <w:noWrap/>
            <w:vAlign w:val="center"/>
            <w:hideMark/>
          </w:tcPr>
          <w:p w14:paraId="7CEF76F4"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17</w:t>
            </w:r>
          </w:p>
        </w:tc>
        <w:tc>
          <w:tcPr>
            <w:tcW w:w="1001" w:type="pct"/>
            <w:tcBorders>
              <w:top w:val="nil"/>
              <w:left w:val="nil"/>
              <w:bottom w:val="nil"/>
              <w:right w:val="nil"/>
            </w:tcBorders>
            <w:noWrap/>
            <w:vAlign w:val="center"/>
            <w:hideMark/>
          </w:tcPr>
          <w:p w14:paraId="09B35CB7"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9.284</w:t>
            </w:r>
          </w:p>
        </w:tc>
        <w:tc>
          <w:tcPr>
            <w:tcW w:w="1051" w:type="pct"/>
            <w:tcBorders>
              <w:top w:val="nil"/>
              <w:left w:val="nil"/>
              <w:bottom w:val="nil"/>
              <w:right w:val="nil"/>
            </w:tcBorders>
            <w:noWrap/>
            <w:vAlign w:val="center"/>
            <w:hideMark/>
          </w:tcPr>
          <w:p w14:paraId="40F88583"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40.139 </w:t>
            </w:r>
          </w:p>
        </w:tc>
      </w:tr>
      <w:tr w:rsidR="00D87550" w:rsidRPr="00D87550" w14:paraId="10D94412" w14:textId="77777777" w:rsidTr="00D87550">
        <w:trPr>
          <w:trHeight w:val="323"/>
        </w:trPr>
        <w:tc>
          <w:tcPr>
            <w:tcW w:w="2577" w:type="pct"/>
            <w:tcBorders>
              <w:top w:val="nil"/>
              <w:left w:val="nil"/>
              <w:bottom w:val="nil"/>
              <w:right w:val="nil"/>
            </w:tcBorders>
            <w:noWrap/>
            <w:vAlign w:val="center"/>
            <w:hideMark/>
          </w:tcPr>
          <w:p w14:paraId="0171BEA5"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Outros realizáveis a curto prazo</w:t>
            </w:r>
          </w:p>
        </w:tc>
        <w:tc>
          <w:tcPr>
            <w:tcW w:w="371" w:type="pct"/>
            <w:tcBorders>
              <w:top w:val="nil"/>
              <w:left w:val="nil"/>
              <w:bottom w:val="nil"/>
              <w:right w:val="nil"/>
            </w:tcBorders>
            <w:noWrap/>
            <w:vAlign w:val="center"/>
            <w:hideMark/>
          </w:tcPr>
          <w:p w14:paraId="03AB6DF4"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1001" w:type="pct"/>
            <w:tcBorders>
              <w:top w:val="nil"/>
              <w:left w:val="nil"/>
              <w:bottom w:val="nil"/>
              <w:right w:val="nil"/>
            </w:tcBorders>
            <w:noWrap/>
            <w:vAlign w:val="center"/>
            <w:hideMark/>
          </w:tcPr>
          <w:p w14:paraId="62A5CAFC"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97.396</w:t>
            </w:r>
          </w:p>
        </w:tc>
        <w:tc>
          <w:tcPr>
            <w:tcW w:w="1051" w:type="pct"/>
            <w:tcBorders>
              <w:top w:val="nil"/>
              <w:left w:val="nil"/>
              <w:bottom w:val="nil"/>
              <w:right w:val="nil"/>
            </w:tcBorders>
            <w:noWrap/>
            <w:vAlign w:val="center"/>
            <w:hideMark/>
          </w:tcPr>
          <w:p w14:paraId="0D69045E"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98.321 </w:t>
            </w:r>
          </w:p>
        </w:tc>
      </w:tr>
      <w:tr w:rsidR="00D87550" w:rsidRPr="00D87550" w14:paraId="431C65F9" w14:textId="77777777" w:rsidTr="00D87550">
        <w:trPr>
          <w:trHeight w:val="323"/>
        </w:trPr>
        <w:tc>
          <w:tcPr>
            <w:tcW w:w="2577" w:type="pct"/>
            <w:tcBorders>
              <w:top w:val="nil"/>
              <w:left w:val="nil"/>
              <w:bottom w:val="nil"/>
              <w:right w:val="nil"/>
            </w:tcBorders>
            <w:noWrap/>
            <w:vAlign w:val="center"/>
            <w:hideMark/>
          </w:tcPr>
          <w:p w14:paraId="7A1529AC"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371" w:type="pct"/>
            <w:tcBorders>
              <w:top w:val="nil"/>
              <w:left w:val="nil"/>
              <w:bottom w:val="nil"/>
              <w:right w:val="nil"/>
            </w:tcBorders>
            <w:noWrap/>
            <w:vAlign w:val="center"/>
            <w:hideMark/>
          </w:tcPr>
          <w:p w14:paraId="18ECA219"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1001" w:type="pct"/>
            <w:tcBorders>
              <w:top w:val="nil"/>
              <w:left w:val="nil"/>
              <w:bottom w:val="nil"/>
              <w:right w:val="nil"/>
            </w:tcBorders>
            <w:noWrap/>
            <w:vAlign w:val="center"/>
            <w:hideMark/>
          </w:tcPr>
          <w:p w14:paraId="4913613D"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1051" w:type="pct"/>
            <w:tcBorders>
              <w:top w:val="nil"/>
              <w:left w:val="nil"/>
              <w:bottom w:val="nil"/>
              <w:right w:val="nil"/>
            </w:tcBorders>
            <w:noWrap/>
            <w:vAlign w:val="center"/>
            <w:hideMark/>
          </w:tcPr>
          <w:p w14:paraId="078637EE"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6891C4A7" w14:textId="77777777" w:rsidTr="00D87550">
        <w:trPr>
          <w:trHeight w:val="323"/>
        </w:trPr>
        <w:tc>
          <w:tcPr>
            <w:tcW w:w="2577" w:type="pct"/>
            <w:tcBorders>
              <w:top w:val="single" w:sz="4" w:space="0" w:color="auto"/>
              <w:left w:val="nil"/>
              <w:bottom w:val="single" w:sz="4" w:space="0" w:color="auto"/>
              <w:right w:val="nil"/>
            </w:tcBorders>
            <w:noWrap/>
            <w:vAlign w:val="center"/>
            <w:hideMark/>
          </w:tcPr>
          <w:p w14:paraId="3380EA5C"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Total do ativo circulante</w:t>
            </w:r>
          </w:p>
        </w:tc>
        <w:tc>
          <w:tcPr>
            <w:tcW w:w="371" w:type="pct"/>
            <w:tcBorders>
              <w:top w:val="single" w:sz="4" w:space="0" w:color="auto"/>
              <w:left w:val="nil"/>
              <w:bottom w:val="single" w:sz="4" w:space="0" w:color="auto"/>
              <w:right w:val="nil"/>
            </w:tcBorders>
            <w:noWrap/>
            <w:vAlign w:val="center"/>
            <w:hideMark/>
          </w:tcPr>
          <w:p w14:paraId="73AB8A49" w14:textId="77777777" w:rsidR="00D87550" w:rsidRPr="00D87550" w:rsidRDefault="00D87550" w:rsidP="00D87550">
            <w:pPr>
              <w:spacing w:after="0" w:line="240" w:lineRule="auto"/>
              <w:jc w:val="right"/>
              <w:rPr>
                <w:rFonts w:ascii="Century" w:eastAsia="Times New Roman" w:hAnsi="Century" w:cs="Calibri"/>
                <w:b/>
                <w:bCs/>
                <w:sz w:val="20"/>
                <w:szCs w:val="20"/>
                <w:lang w:eastAsia="pt-BR"/>
              </w:rPr>
            </w:pPr>
            <w:r w:rsidRPr="00D87550">
              <w:rPr>
                <w:rFonts w:ascii="Century" w:eastAsia="Times New Roman" w:hAnsi="Century" w:cs="Calibri"/>
                <w:b/>
                <w:bCs/>
                <w:sz w:val="20"/>
                <w:szCs w:val="20"/>
                <w:lang w:eastAsia="pt-BR"/>
              </w:rPr>
              <w:t> </w:t>
            </w:r>
          </w:p>
        </w:tc>
        <w:tc>
          <w:tcPr>
            <w:tcW w:w="1001" w:type="pct"/>
            <w:tcBorders>
              <w:top w:val="single" w:sz="4" w:space="0" w:color="auto"/>
              <w:left w:val="nil"/>
              <w:bottom w:val="single" w:sz="4" w:space="0" w:color="auto"/>
              <w:right w:val="nil"/>
            </w:tcBorders>
            <w:noWrap/>
            <w:vAlign w:val="center"/>
            <w:hideMark/>
          </w:tcPr>
          <w:p w14:paraId="16E4FB92" w14:textId="77777777" w:rsidR="00D87550" w:rsidRPr="00D87550" w:rsidRDefault="00D87550" w:rsidP="00D87550">
            <w:pPr>
              <w:spacing w:after="0" w:line="240" w:lineRule="auto"/>
              <w:jc w:val="right"/>
              <w:rPr>
                <w:rFonts w:ascii="Century" w:eastAsia="Times New Roman" w:hAnsi="Century" w:cs="Calibri"/>
                <w:b/>
                <w:bCs/>
                <w:sz w:val="20"/>
                <w:szCs w:val="20"/>
                <w:lang w:eastAsia="pt-BR"/>
              </w:rPr>
            </w:pPr>
            <w:r w:rsidRPr="00D87550">
              <w:rPr>
                <w:rFonts w:ascii="Century" w:eastAsia="Times New Roman" w:hAnsi="Century" w:cs="Calibri"/>
                <w:b/>
                <w:bCs/>
                <w:sz w:val="20"/>
                <w:szCs w:val="20"/>
                <w:lang w:eastAsia="pt-BR"/>
              </w:rPr>
              <w:t>34.218.973</w:t>
            </w:r>
          </w:p>
        </w:tc>
        <w:tc>
          <w:tcPr>
            <w:tcW w:w="1051" w:type="pct"/>
            <w:tcBorders>
              <w:top w:val="single" w:sz="4" w:space="0" w:color="auto"/>
              <w:left w:val="nil"/>
              <w:bottom w:val="single" w:sz="4" w:space="0" w:color="auto"/>
              <w:right w:val="nil"/>
            </w:tcBorders>
            <w:noWrap/>
            <w:vAlign w:val="center"/>
            <w:hideMark/>
          </w:tcPr>
          <w:p w14:paraId="6993DCFD" w14:textId="77777777" w:rsidR="00D87550" w:rsidRPr="00D87550" w:rsidRDefault="00D87550" w:rsidP="00D87550">
            <w:pPr>
              <w:spacing w:after="0" w:line="240" w:lineRule="auto"/>
              <w:jc w:val="right"/>
              <w:rPr>
                <w:rFonts w:ascii="Century" w:eastAsia="Times New Roman" w:hAnsi="Century" w:cs="Calibri"/>
                <w:b/>
                <w:bCs/>
                <w:sz w:val="20"/>
                <w:szCs w:val="20"/>
                <w:lang w:eastAsia="pt-BR"/>
              </w:rPr>
            </w:pPr>
            <w:r w:rsidRPr="00D87550">
              <w:rPr>
                <w:rFonts w:ascii="Century" w:eastAsia="Times New Roman" w:hAnsi="Century" w:cs="Calibri"/>
                <w:b/>
                <w:bCs/>
                <w:sz w:val="20"/>
                <w:szCs w:val="20"/>
                <w:lang w:eastAsia="pt-BR"/>
              </w:rPr>
              <w:t>30.247.598</w:t>
            </w:r>
          </w:p>
        </w:tc>
      </w:tr>
      <w:tr w:rsidR="00D87550" w:rsidRPr="00D87550" w14:paraId="453F94A7" w14:textId="77777777" w:rsidTr="00D87550">
        <w:trPr>
          <w:trHeight w:val="323"/>
        </w:trPr>
        <w:tc>
          <w:tcPr>
            <w:tcW w:w="2577" w:type="pct"/>
            <w:tcBorders>
              <w:top w:val="nil"/>
              <w:left w:val="nil"/>
              <w:bottom w:val="nil"/>
              <w:right w:val="nil"/>
            </w:tcBorders>
            <w:noWrap/>
            <w:vAlign w:val="center"/>
            <w:hideMark/>
          </w:tcPr>
          <w:p w14:paraId="3B322657" w14:textId="77777777" w:rsidR="00D87550" w:rsidRPr="00D87550" w:rsidRDefault="00D87550" w:rsidP="00D87550">
            <w:pPr>
              <w:spacing w:after="0" w:line="240" w:lineRule="auto"/>
              <w:jc w:val="right"/>
              <w:rPr>
                <w:rFonts w:ascii="Century" w:eastAsia="Times New Roman" w:hAnsi="Century" w:cs="Calibri"/>
                <w:b/>
                <w:bCs/>
                <w:sz w:val="20"/>
                <w:szCs w:val="20"/>
                <w:lang w:eastAsia="pt-BR"/>
              </w:rPr>
            </w:pPr>
          </w:p>
        </w:tc>
        <w:tc>
          <w:tcPr>
            <w:tcW w:w="371" w:type="pct"/>
            <w:tcBorders>
              <w:top w:val="nil"/>
              <w:left w:val="nil"/>
              <w:bottom w:val="nil"/>
              <w:right w:val="nil"/>
            </w:tcBorders>
            <w:noWrap/>
            <w:vAlign w:val="center"/>
            <w:hideMark/>
          </w:tcPr>
          <w:p w14:paraId="0DF5B21F"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1001" w:type="pct"/>
            <w:tcBorders>
              <w:top w:val="nil"/>
              <w:left w:val="nil"/>
              <w:bottom w:val="nil"/>
              <w:right w:val="nil"/>
            </w:tcBorders>
            <w:noWrap/>
            <w:vAlign w:val="center"/>
            <w:hideMark/>
          </w:tcPr>
          <w:p w14:paraId="25BF12ED"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1051" w:type="pct"/>
            <w:tcBorders>
              <w:top w:val="nil"/>
              <w:left w:val="nil"/>
              <w:bottom w:val="nil"/>
              <w:right w:val="nil"/>
            </w:tcBorders>
            <w:noWrap/>
            <w:vAlign w:val="center"/>
            <w:hideMark/>
          </w:tcPr>
          <w:p w14:paraId="2E45C266"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5D2DA14C" w14:textId="77777777" w:rsidTr="00D87550">
        <w:trPr>
          <w:trHeight w:val="323"/>
        </w:trPr>
        <w:tc>
          <w:tcPr>
            <w:tcW w:w="2577" w:type="pct"/>
            <w:tcBorders>
              <w:top w:val="nil"/>
              <w:left w:val="nil"/>
              <w:bottom w:val="nil"/>
              <w:right w:val="nil"/>
            </w:tcBorders>
            <w:noWrap/>
            <w:vAlign w:val="center"/>
            <w:hideMark/>
          </w:tcPr>
          <w:p w14:paraId="33369D17"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NÃO CIRCULANTE</w:t>
            </w:r>
          </w:p>
        </w:tc>
        <w:tc>
          <w:tcPr>
            <w:tcW w:w="371" w:type="pct"/>
            <w:tcBorders>
              <w:top w:val="nil"/>
              <w:left w:val="nil"/>
              <w:bottom w:val="nil"/>
              <w:right w:val="nil"/>
            </w:tcBorders>
            <w:noWrap/>
            <w:vAlign w:val="center"/>
            <w:hideMark/>
          </w:tcPr>
          <w:p w14:paraId="51354DB3"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p>
        </w:tc>
        <w:tc>
          <w:tcPr>
            <w:tcW w:w="1001" w:type="pct"/>
            <w:tcBorders>
              <w:top w:val="nil"/>
              <w:left w:val="nil"/>
              <w:bottom w:val="nil"/>
              <w:right w:val="nil"/>
            </w:tcBorders>
            <w:noWrap/>
            <w:vAlign w:val="center"/>
            <w:hideMark/>
          </w:tcPr>
          <w:p w14:paraId="04F2BDC6" w14:textId="77777777" w:rsidR="00D87550" w:rsidRPr="00D87550" w:rsidRDefault="00D87550" w:rsidP="00D87550">
            <w:pPr>
              <w:spacing w:after="0" w:line="240" w:lineRule="auto"/>
              <w:jc w:val="right"/>
              <w:rPr>
                <w:rFonts w:ascii="Times New Roman" w:eastAsia="Times New Roman" w:hAnsi="Times New Roman" w:cs="Times New Roman"/>
                <w:sz w:val="20"/>
                <w:szCs w:val="20"/>
                <w:lang w:eastAsia="pt-BR"/>
              </w:rPr>
            </w:pPr>
          </w:p>
        </w:tc>
        <w:tc>
          <w:tcPr>
            <w:tcW w:w="1051" w:type="pct"/>
            <w:tcBorders>
              <w:top w:val="nil"/>
              <w:left w:val="nil"/>
              <w:bottom w:val="nil"/>
              <w:right w:val="nil"/>
            </w:tcBorders>
            <w:noWrap/>
            <w:vAlign w:val="center"/>
            <w:hideMark/>
          </w:tcPr>
          <w:p w14:paraId="6F66FE10" w14:textId="77777777" w:rsidR="00D87550" w:rsidRPr="00D87550" w:rsidRDefault="00D87550" w:rsidP="00D87550">
            <w:pPr>
              <w:spacing w:after="0" w:line="240" w:lineRule="auto"/>
              <w:jc w:val="right"/>
              <w:rPr>
                <w:rFonts w:ascii="Times New Roman" w:eastAsia="Times New Roman" w:hAnsi="Times New Roman" w:cs="Times New Roman"/>
                <w:sz w:val="20"/>
                <w:szCs w:val="20"/>
                <w:lang w:eastAsia="pt-BR"/>
              </w:rPr>
            </w:pPr>
          </w:p>
        </w:tc>
      </w:tr>
      <w:tr w:rsidR="00D87550" w:rsidRPr="00D87550" w14:paraId="288FC517" w14:textId="77777777" w:rsidTr="00D87550">
        <w:trPr>
          <w:trHeight w:val="323"/>
        </w:trPr>
        <w:tc>
          <w:tcPr>
            <w:tcW w:w="2577" w:type="pct"/>
            <w:tcBorders>
              <w:top w:val="nil"/>
              <w:left w:val="nil"/>
              <w:bottom w:val="nil"/>
              <w:right w:val="nil"/>
            </w:tcBorders>
            <w:noWrap/>
            <w:vAlign w:val="center"/>
            <w:hideMark/>
          </w:tcPr>
          <w:p w14:paraId="3A91D99F"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Devedores por vendas compromissadas</w:t>
            </w:r>
          </w:p>
        </w:tc>
        <w:tc>
          <w:tcPr>
            <w:tcW w:w="371" w:type="pct"/>
            <w:tcBorders>
              <w:top w:val="nil"/>
              <w:left w:val="nil"/>
              <w:bottom w:val="nil"/>
              <w:right w:val="nil"/>
            </w:tcBorders>
            <w:noWrap/>
            <w:vAlign w:val="center"/>
            <w:hideMark/>
          </w:tcPr>
          <w:p w14:paraId="085669A7"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1001" w:type="pct"/>
            <w:tcBorders>
              <w:top w:val="nil"/>
              <w:left w:val="nil"/>
              <w:bottom w:val="nil"/>
              <w:right w:val="nil"/>
            </w:tcBorders>
            <w:noWrap/>
            <w:vAlign w:val="center"/>
            <w:hideMark/>
          </w:tcPr>
          <w:p w14:paraId="761FEAAE"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14.434.612</w:t>
            </w:r>
          </w:p>
        </w:tc>
        <w:tc>
          <w:tcPr>
            <w:tcW w:w="1051" w:type="pct"/>
            <w:tcBorders>
              <w:top w:val="nil"/>
              <w:left w:val="nil"/>
              <w:bottom w:val="nil"/>
              <w:right w:val="nil"/>
            </w:tcBorders>
            <w:noWrap/>
            <w:vAlign w:val="center"/>
            <w:hideMark/>
          </w:tcPr>
          <w:p w14:paraId="417B0C33"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14.434.612 </w:t>
            </w:r>
          </w:p>
        </w:tc>
      </w:tr>
      <w:tr w:rsidR="00D87550" w:rsidRPr="00D87550" w14:paraId="0757EC9A" w14:textId="77777777" w:rsidTr="00D87550">
        <w:trPr>
          <w:trHeight w:val="323"/>
        </w:trPr>
        <w:tc>
          <w:tcPr>
            <w:tcW w:w="2577" w:type="pct"/>
            <w:tcBorders>
              <w:top w:val="nil"/>
              <w:left w:val="nil"/>
              <w:bottom w:val="nil"/>
              <w:right w:val="nil"/>
            </w:tcBorders>
            <w:noWrap/>
            <w:vAlign w:val="center"/>
            <w:hideMark/>
          </w:tcPr>
          <w:p w14:paraId="2E88BE8D"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Títulos, valores mobiliários e depósitos</w:t>
            </w:r>
          </w:p>
        </w:tc>
        <w:tc>
          <w:tcPr>
            <w:tcW w:w="371" w:type="pct"/>
            <w:tcBorders>
              <w:top w:val="nil"/>
              <w:left w:val="nil"/>
              <w:bottom w:val="nil"/>
              <w:right w:val="nil"/>
            </w:tcBorders>
            <w:noWrap/>
            <w:vAlign w:val="center"/>
            <w:hideMark/>
          </w:tcPr>
          <w:p w14:paraId="4F02EDBB"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18</w:t>
            </w:r>
          </w:p>
        </w:tc>
        <w:tc>
          <w:tcPr>
            <w:tcW w:w="1001" w:type="pct"/>
            <w:tcBorders>
              <w:top w:val="nil"/>
              <w:left w:val="nil"/>
              <w:bottom w:val="nil"/>
              <w:right w:val="nil"/>
            </w:tcBorders>
            <w:noWrap/>
            <w:vAlign w:val="center"/>
            <w:hideMark/>
          </w:tcPr>
          <w:p w14:paraId="3E66F5DA"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3.010.405</w:t>
            </w:r>
          </w:p>
        </w:tc>
        <w:tc>
          <w:tcPr>
            <w:tcW w:w="1051" w:type="pct"/>
            <w:tcBorders>
              <w:top w:val="nil"/>
              <w:left w:val="nil"/>
              <w:bottom w:val="nil"/>
              <w:right w:val="nil"/>
            </w:tcBorders>
            <w:noWrap/>
            <w:vAlign w:val="center"/>
            <w:hideMark/>
          </w:tcPr>
          <w:p w14:paraId="0EF27AA6"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3.576.112 </w:t>
            </w:r>
          </w:p>
        </w:tc>
      </w:tr>
      <w:tr w:rsidR="00D87550" w:rsidRPr="00D87550" w14:paraId="68C457A5" w14:textId="77777777" w:rsidTr="00D87550">
        <w:trPr>
          <w:trHeight w:val="323"/>
        </w:trPr>
        <w:tc>
          <w:tcPr>
            <w:tcW w:w="2577" w:type="pct"/>
            <w:tcBorders>
              <w:top w:val="nil"/>
              <w:left w:val="nil"/>
              <w:bottom w:val="nil"/>
              <w:right w:val="nil"/>
            </w:tcBorders>
            <w:noWrap/>
            <w:vAlign w:val="center"/>
            <w:hideMark/>
          </w:tcPr>
          <w:p w14:paraId="531C8F8F"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Movimentação de seguros - SFH</w:t>
            </w:r>
          </w:p>
        </w:tc>
        <w:tc>
          <w:tcPr>
            <w:tcW w:w="371" w:type="pct"/>
            <w:tcBorders>
              <w:top w:val="nil"/>
              <w:left w:val="nil"/>
              <w:bottom w:val="nil"/>
              <w:right w:val="nil"/>
            </w:tcBorders>
            <w:noWrap/>
            <w:vAlign w:val="center"/>
            <w:hideMark/>
          </w:tcPr>
          <w:p w14:paraId="09BC42F6"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6</w:t>
            </w:r>
          </w:p>
        </w:tc>
        <w:tc>
          <w:tcPr>
            <w:tcW w:w="1001" w:type="pct"/>
            <w:tcBorders>
              <w:top w:val="nil"/>
              <w:left w:val="nil"/>
              <w:bottom w:val="nil"/>
              <w:right w:val="nil"/>
            </w:tcBorders>
            <w:noWrap/>
            <w:vAlign w:val="center"/>
            <w:hideMark/>
          </w:tcPr>
          <w:p w14:paraId="16617AF6"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5.016.254</w:t>
            </w:r>
          </w:p>
        </w:tc>
        <w:tc>
          <w:tcPr>
            <w:tcW w:w="1051" w:type="pct"/>
            <w:tcBorders>
              <w:top w:val="nil"/>
              <w:left w:val="nil"/>
              <w:bottom w:val="nil"/>
              <w:right w:val="nil"/>
            </w:tcBorders>
            <w:noWrap/>
            <w:vAlign w:val="center"/>
            <w:hideMark/>
          </w:tcPr>
          <w:p w14:paraId="34B6ED8F"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5.016.254 </w:t>
            </w:r>
          </w:p>
        </w:tc>
      </w:tr>
      <w:tr w:rsidR="00D87550" w:rsidRPr="00D87550" w14:paraId="24CE0581" w14:textId="77777777" w:rsidTr="00D87550">
        <w:trPr>
          <w:trHeight w:val="323"/>
        </w:trPr>
        <w:tc>
          <w:tcPr>
            <w:tcW w:w="2577" w:type="pct"/>
            <w:tcBorders>
              <w:top w:val="nil"/>
              <w:left w:val="nil"/>
              <w:bottom w:val="nil"/>
              <w:right w:val="nil"/>
            </w:tcBorders>
            <w:noWrap/>
            <w:vAlign w:val="center"/>
            <w:hideMark/>
          </w:tcPr>
          <w:p w14:paraId="4F6346D5"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Movimentação de Contribuições ao FCVS</w:t>
            </w:r>
          </w:p>
        </w:tc>
        <w:tc>
          <w:tcPr>
            <w:tcW w:w="371" w:type="pct"/>
            <w:tcBorders>
              <w:top w:val="nil"/>
              <w:left w:val="nil"/>
              <w:bottom w:val="nil"/>
              <w:right w:val="nil"/>
            </w:tcBorders>
            <w:noWrap/>
            <w:vAlign w:val="center"/>
            <w:hideMark/>
          </w:tcPr>
          <w:p w14:paraId="2EA136D1"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7</w:t>
            </w:r>
          </w:p>
        </w:tc>
        <w:tc>
          <w:tcPr>
            <w:tcW w:w="1001" w:type="pct"/>
            <w:tcBorders>
              <w:top w:val="nil"/>
              <w:left w:val="nil"/>
              <w:bottom w:val="nil"/>
              <w:right w:val="nil"/>
            </w:tcBorders>
            <w:noWrap/>
            <w:vAlign w:val="center"/>
            <w:hideMark/>
          </w:tcPr>
          <w:p w14:paraId="79C0B6CE"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2.046.876</w:t>
            </w:r>
          </w:p>
        </w:tc>
        <w:tc>
          <w:tcPr>
            <w:tcW w:w="1051" w:type="pct"/>
            <w:tcBorders>
              <w:top w:val="nil"/>
              <w:left w:val="nil"/>
              <w:bottom w:val="nil"/>
              <w:right w:val="nil"/>
            </w:tcBorders>
            <w:noWrap/>
            <w:vAlign w:val="center"/>
            <w:hideMark/>
          </w:tcPr>
          <w:p w14:paraId="7131F697"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2.046.876 </w:t>
            </w:r>
          </w:p>
        </w:tc>
      </w:tr>
      <w:tr w:rsidR="00D87550" w:rsidRPr="00D87550" w14:paraId="3B904B29" w14:textId="77777777" w:rsidTr="00D87550">
        <w:trPr>
          <w:trHeight w:val="323"/>
        </w:trPr>
        <w:tc>
          <w:tcPr>
            <w:tcW w:w="2577" w:type="pct"/>
            <w:tcBorders>
              <w:top w:val="nil"/>
              <w:left w:val="nil"/>
              <w:bottom w:val="nil"/>
              <w:right w:val="nil"/>
            </w:tcBorders>
            <w:noWrap/>
            <w:vAlign w:val="center"/>
            <w:hideMark/>
          </w:tcPr>
          <w:p w14:paraId="0EB5E914"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Créditos com FGTS e Seguradoras</w:t>
            </w:r>
          </w:p>
        </w:tc>
        <w:tc>
          <w:tcPr>
            <w:tcW w:w="371" w:type="pct"/>
            <w:tcBorders>
              <w:top w:val="nil"/>
              <w:left w:val="nil"/>
              <w:bottom w:val="nil"/>
              <w:right w:val="nil"/>
            </w:tcBorders>
            <w:noWrap/>
            <w:vAlign w:val="center"/>
            <w:hideMark/>
          </w:tcPr>
          <w:p w14:paraId="73BB551E"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9</w:t>
            </w:r>
          </w:p>
        </w:tc>
        <w:tc>
          <w:tcPr>
            <w:tcW w:w="1001" w:type="pct"/>
            <w:tcBorders>
              <w:top w:val="nil"/>
              <w:left w:val="nil"/>
              <w:bottom w:val="nil"/>
              <w:right w:val="nil"/>
            </w:tcBorders>
            <w:noWrap/>
            <w:vAlign w:val="center"/>
            <w:hideMark/>
          </w:tcPr>
          <w:p w14:paraId="74BD4A38"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1.516.904</w:t>
            </w:r>
          </w:p>
        </w:tc>
        <w:tc>
          <w:tcPr>
            <w:tcW w:w="1051" w:type="pct"/>
            <w:tcBorders>
              <w:top w:val="nil"/>
              <w:left w:val="nil"/>
              <w:bottom w:val="nil"/>
              <w:right w:val="nil"/>
            </w:tcBorders>
            <w:noWrap/>
            <w:vAlign w:val="center"/>
            <w:hideMark/>
          </w:tcPr>
          <w:p w14:paraId="1CD53CF5"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1.516.904 </w:t>
            </w:r>
          </w:p>
        </w:tc>
      </w:tr>
      <w:tr w:rsidR="00D87550" w:rsidRPr="00D87550" w14:paraId="3ABAF20F" w14:textId="77777777" w:rsidTr="00D87550">
        <w:trPr>
          <w:trHeight w:val="323"/>
        </w:trPr>
        <w:tc>
          <w:tcPr>
            <w:tcW w:w="2577" w:type="pct"/>
            <w:tcBorders>
              <w:top w:val="nil"/>
              <w:left w:val="nil"/>
              <w:bottom w:val="nil"/>
              <w:right w:val="nil"/>
            </w:tcBorders>
            <w:noWrap/>
            <w:vAlign w:val="center"/>
            <w:hideMark/>
          </w:tcPr>
          <w:p w14:paraId="29A03AAA"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Devedores por Repasse de Convênios</w:t>
            </w:r>
          </w:p>
        </w:tc>
        <w:tc>
          <w:tcPr>
            <w:tcW w:w="371" w:type="pct"/>
            <w:tcBorders>
              <w:top w:val="nil"/>
              <w:left w:val="nil"/>
              <w:bottom w:val="nil"/>
              <w:right w:val="nil"/>
            </w:tcBorders>
            <w:noWrap/>
            <w:vAlign w:val="center"/>
            <w:hideMark/>
          </w:tcPr>
          <w:p w14:paraId="02F74C46"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15</w:t>
            </w:r>
          </w:p>
        </w:tc>
        <w:tc>
          <w:tcPr>
            <w:tcW w:w="1001" w:type="pct"/>
            <w:tcBorders>
              <w:top w:val="nil"/>
              <w:left w:val="nil"/>
              <w:bottom w:val="nil"/>
              <w:right w:val="nil"/>
            </w:tcBorders>
            <w:noWrap/>
            <w:vAlign w:val="center"/>
            <w:hideMark/>
          </w:tcPr>
          <w:p w14:paraId="6435DBF7"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1.601.771</w:t>
            </w:r>
          </w:p>
        </w:tc>
        <w:tc>
          <w:tcPr>
            <w:tcW w:w="1051" w:type="pct"/>
            <w:tcBorders>
              <w:top w:val="nil"/>
              <w:left w:val="nil"/>
              <w:bottom w:val="nil"/>
              <w:right w:val="nil"/>
            </w:tcBorders>
            <w:noWrap/>
            <w:vAlign w:val="center"/>
            <w:hideMark/>
          </w:tcPr>
          <w:p w14:paraId="014477F7"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1.601.771 </w:t>
            </w:r>
          </w:p>
        </w:tc>
      </w:tr>
      <w:tr w:rsidR="00D87550" w:rsidRPr="00D87550" w14:paraId="03228549" w14:textId="77777777" w:rsidTr="00D87550">
        <w:trPr>
          <w:trHeight w:val="323"/>
        </w:trPr>
        <w:tc>
          <w:tcPr>
            <w:tcW w:w="2577" w:type="pct"/>
            <w:tcBorders>
              <w:top w:val="nil"/>
              <w:left w:val="nil"/>
              <w:bottom w:val="nil"/>
              <w:right w:val="nil"/>
            </w:tcBorders>
            <w:noWrap/>
            <w:vAlign w:val="center"/>
            <w:hideMark/>
          </w:tcPr>
          <w:p w14:paraId="30E4ED30"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Devedores por créditos repassados</w:t>
            </w:r>
          </w:p>
        </w:tc>
        <w:tc>
          <w:tcPr>
            <w:tcW w:w="371" w:type="pct"/>
            <w:tcBorders>
              <w:top w:val="nil"/>
              <w:left w:val="nil"/>
              <w:bottom w:val="nil"/>
              <w:right w:val="nil"/>
            </w:tcBorders>
            <w:noWrap/>
            <w:vAlign w:val="center"/>
            <w:hideMark/>
          </w:tcPr>
          <w:p w14:paraId="596C112B"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1001" w:type="pct"/>
            <w:tcBorders>
              <w:top w:val="nil"/>
              <w:left w:val="nil"/>
              <w:bottom w:val="nil"/>
              <w:right w:val="nil"/>
            </w:tcBorders>
            <w:noWrap/>
            <w:vAlign w:val="center"/>
            <w:hideMark/>
          </w:tcPr>
          <w:p w14:paraId="21DB8A72"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4.574</w:t>
            </w:r>
          </w:p>
        </w:tc>
        <w:tc>
          <w:tcPr>
            <w:tcW w:w="1051" w:type="pct"/>
            <w:tcBorders>
              <w:top w:val="nil"/>
              <w:left w:val="nil"/>
              <w:bottom w:val="nil"/>
              <w:right w:val="nil"/>
            </w:tcBorders>
            <w:noWrap/>
            <w:vAlign w:val="center"/>
            <w:hideMark/>
          </w:tcPr>
          <w:p w14:paraId="7E5AF97F"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4.574 </w:t>
            </w:r>
          </w:p>
        </w:tc>
      </w:tr>
      <w:tr w:rsidR="00D87550" w:rsidRPr="00D87550" w14:paraId="1FE16A6F" w14:textId="77777777" w:rsidTr="00D87550">
        <w:trPr>
          <w:trHeight w:val="323"/>
        </w:trPr>
        <w:tc>
          <w:tcPr>
            <w:tcW w:w="2577" w:type="pct"/>
            <w:tcBorders>
              <w:top w:val="nil"/>
              <w:left w:val="nil"/>
              <w:bottom w:val="nil"/>
              <w:right w:val="nil"/>
            </w:tcBorders>
            <w:noWrap/>
            <w:vAlign w:val="center"/>
            <w:hideMark/>
          </w:tcPr>
          <w:p w14:paraId="5E5FF6A4"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FCVS a receber</w:t>
            </w:r>
          </w:p>
        </w:tc>
        <w:tc>
          <w:tcPr>
            <w:tcW w:w="371" w:type="pct"/>
            <w:tcBorders>
              <w:top w:val="nil"/>
              <w:left w:val="nil"/>
              <w:bottom w:val="nil"/>
              <w:right w:val="nil"/>
            </w:tcBorders>
            <w:noWrap/>
            <w:vAlign w:val="center"/>
            <w:hideMark/>
          </w:tcPr>
          <w:p w14:paraId="2285E978"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10</w:t>
            </w:r>
          </w:p>
        </w:tc>
        <w:tc>
          <w:tcPr>
            <w:tcW w:w="1001" w:type="pct"/>
            <w:tcBorders>
              <w:top w:val="nil"/>
              <w:left w:val="nil"/>
              <w:bottom w:val="nil"/>
              <w:right w:val="nil"/>
            </w:tcBorders>
            <w:noWrap/>
            <w:vAlign w:val="center"/>
            <w:hideMark/>
          </w:tcPr>
          <w:p w14:paraId="065A5CB1"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32.434.519</w:t>
            </w:r>
          </w:p>
        </w:tc>
        <w:tc>
          <w:tcPr>
            <w:tcW w:w="1051" w:type="pct"/>
            <w:tcBorders>
              <w:top w:val="nil"/>
              <w:left w:val="nil"/>
              <w:bottom w:val="nil"/>
              <w:right w:val="nil"/>
            </w:tcBorders>
            <w:noWrap/>
            <w:vAlign w:val="center"/>
            <w:hideMark/>
          </w:tcPr>
          <w:p w14:paraId="53A29956"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32.434.519 </w:t>
            </w:r>
          </w:p>
        </w:tc>
      </w:tr>
      <w:tr w:rsidR="00D87550" w:rsidRPr="00D87550" w14:paraId="62554F0A" w14:textId="77777777" w:rsidTr="00D87550">
        <w:trPr>
          <w:trHeight w:val="323"/>
        </w:trPr>
        <w:tc>
          <w:tcPr>
            <w:tcW w:w="2577" w:type="pct"/>
            <w:tcBorders>
              <w:top w:val="nil"/>
              <w:left w:val="nil"/>
              <w:bottom w:val="nil"/>
              <w:right w:val="nil"/>
            </w:tcBorders>
            <w:noWrap/>
            <w:vAlign w:val="center"/>
            <w:hideMark/>
          </w:tcPr>
          <w:p w14:paraId="25BCF746"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Direitos vinculados a pessoas ligadas</w:t>
            </w:r>
          </w:p>
        </w:tc>
        <w:tc>
          <w:tcPr>
            <w:tcW w:w="371" w:type="pct"/>
            <w:tcBorders>
              <w:top w:val="nil"/>
              <w:left w:val="nil"/>
              <w:bottom w:val="nil"/>
              <w:right w:val="nil"/>
            </w:tcBorders>
            <w:noWrap/>
            <w:vAlign w:val="center"/>
            <w:hideMark/>
          </w:tcPr>
          <w:p w14:paraId="5D66EED3"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1001" w:type="pct"/>
            <w:tcBorders>
              <w:top w:val="nil"/>
              <w:left w:val="nil"/>
              <w:bottom w:val="nil"/>
              <w:right w:val="nil"/>
            </w:tcBorders>
            <w:noWrap/>
            <w:vAlign w:val="center"/>
            <w:hideMark/>
          </w:tcPr>
          <w:p w14:paraId="50E50FE9"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1.234.644</w:t>
            </w:r>
          </w:p>
        </w:tc>
        <w:tc>
          <w:tcPr>
            <w:tcW w:w="1051" w:type="pct"/>
            <w:tcBorders>
              <w:top w:val="nil"/>
              <w:left w:val="nil"/>
              <w:bottom w:val="nil"/>
              <w:right w:val="nil"/>
            </w:tcBorders>
            <w:noWrap/>
            <w:vAlign w:val="center"/>
            <w:hideMark/>
          </w:tcPr>
          <w:p w14:paraId="7EA02FC3"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1.234.644 </w:t>
            </w:r>
          </w:p>
        </w:tc>
      </w:tr>
      <w:tr w:rsidR="00D87550" w:rsidRPr="00D87550" w14:paraId="37CD8E99" w14:textId="77777777" w:rsidTr="00D87550">
        <w:trPr>
          <w:trHeight w:val="323"/>
        </w:trPr>
        <w:tc>
          <w:tcPr>
            <w:tcW w:w="2577" w:type="pct"/>
            <w:tcBorders>
              <w:top w:val="nil"/>
              <w:left w:val="nil"/>
              <w:bottom w:val="nil"/>
              <w:right w:val="nil"/>
            </w:tcBorders>
            <w:noWrap/>
            <w:vAlign w:val="center"/>
            <w:hideMark/>
          </w:tcPr>
          <w:p w14:paraId="7DC60E91"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Depósitos judiciais</w:t>
            </w:r>
          </w:p>
        </w:tc>
        <w:tc>
          <w:tcPr>
            <w:tcW w:w="371" w:type="pct"/>
            <w:tcBorders>
              <w:top w:val="nil"/>
              <w:left w:val="nil"/>
              <w:bottom w:val="nil"/>
              <w:right w:val="nil"/>
            </w:tcBorders>
            <w:noWrap/>
            <w:vAlign w:val="center"/>
            <w:hideMark/>
          </w:tcPr>
          <w:p w14:paraId="3229CC02"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1001" w:type="pct"/>
            <w:tcBorders>
              <w:top w:val="nil"/>
              <w:left w:val="nil"/>
              <w:bottom w:val="nil"/>
              <w:right w:val="nil"/>
            </w:tcBorders>
            <w:noWrap/>
            <w:vAlign w:val="center"/>
            <w:hideMark/>
          </w:tcPr>
          <w:p w14:paraId="088441F8"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36.486</w:t>
            </w:r>
          </w:p>
        </w:tc>
        <w:tc>
          <w:tcPr>
            <w:tcW w:w="1051" w:type="pct"/>
            <w:tcBorders>
              <w:top w:val="nil"/>
              <w:left w:val="nil"/>
              <w:bottom w:val="nil"/>
              <w:right w:val="nil"/>
            </w:tcBorders>
            <w:noWrap/>
            <w:vAlign w:val="center"/>
            <w:hideMark/>
          </w:tcPr>
          <w:p w14:paraId="54E38762"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36.486 </w:t>
            </w:r>
          </w:p>
        </w:tc>
      </w:tr>
      <w:tr w:rsidR="00D87550" w:rsidRPr="00D87550" w14:paraId="0656FAEB" w14:textId="77777777" w:rsidTr="00D87550">
        <w:trPr>
          <w:trHeight w:val="323"/>
        </w:trPr>
        <w:tc>
          <w:tcPr>
            <w:tcW w:w="2577" w:type="pct"/>
            <w:tcBorders>
              <w:top w:val="nil"/>
              <w:left w:val="nil"/>
              <w:bottom w:val="nil"/>
              <w:right w:val="nil"/>
            </w:tcBorders>
            <w:noWrap/>
            <w:vAlign w:val="center"/>
            <w:hideMark/>
          </w:tcPr>
          <w:p w14:paraId="63E44ECF"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Outros realizáveis a longo prazo</w:t>
            </w:r>
          </w:p>
        </w:tc>
        <w:tc>
          <w:tcPr>
            <w:tcW w:w="371" w:type="pct"/>
            <w:tcBorders>
              <w:top w:val="nil"/>
              <w:left w:val="nil"/>
              <w:bottom w:val="nil"/>
              <w:right w:val="nil"/>
            </w:tcBorders>
            <w:noWrap/>
            <w:vAlign w:val="center"/>
            <w:hideMark/>
          </w:tcPr>
          <w:p w14:paraId="48B04320"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1001" w:type="pct"/>
            <w:tcBorders>
              <w:top w:val="nil"/>
              <w:left w:val="nil"/>
              <w:bottom w:val="nil"/>
              <w:right w:val="nil"/>
            </w:tcBorders>
            <w:noWrap/>
            <w:vAlign w:val="center"/>
            <w:hideMark/>
          </w:tcPr>
          <w:p w14:paraId="2D0BF9FE"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1.290.405</w:t>
            </w:r>
          </w:p>
        </w:tc>
        <w:tc>
          <w:tcPr>
            <w:tcW w:w="1051" w:type="pct"/>
            <w:tcBorders>
              <w:top w:val="nil"/>
              <w:left w:val="nil"/>
              <w:bottom w:val="nil"/>
              <w:right w:val="nil"/>
            </w:tcBorders>
            <w:noWrap/>
            <w:vAlign w:val="center"/>
            <w:hideMark/>
          </w:tcPr>
          <w:p w14:paraId="3F82572C"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1.290.405 </w:t>
            </w:r>
          </w:p>
        </w:tc>
      </w:tr>
      <w:tr w:rsidR="00D87550" w:rsidRPr="00D87550" w14:paraId="5C4F51B4" w14:textId="77777777" w:rsidTr="00D87550">
        <w:trPr>
          <w:trHeight w:val="323"/>
        </w:trPr>
        <w:tc>
          <w:tcPr>
            <w:tcW w:w="2577" w:type="pct"/>
            <w:tcBorders>
              <w:top w:val="nil"/>
              <w:left w:val="nil"/>
              <w:bottom w:val="nil"/>
              <w:right w:val="nil"/>
            </w:tcBorders>
            <w:noWrap/>
            <w:vAlign w:val="center"/>
            <w:hideMark/>
          </w:tcPr>
          <w:p w14:paraId="51E4CB3B"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Investimentos</w:t>
            </w:r>
          </w:p>
        </w:tc>
        <w:tc>
          <w:tcPr>
            <w:tcW w:w="371" w:type="pct"/>
            <w:tcBorders>
              <w:top w:val="nil"/>
              <w:left w:val="nil"/>
              <w:bottom w:val="nil"/>
              <w:right w:val="nil"/>
            </w:tcBorders>
            <w:noWrap/>
            <w:vAlign w:val="center"/>
            <w:hideMark/>
          </w:tcPr>
          <w:p w14:paraId="515589AC"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20</w:t>
            </w:r>
          </w:p>
        </w:tc>
        <w:tc>
          <w:tcPr>
            <w:tcW w:w="1001" w:type="pct"/>
            <w:tcBorders>
              <w:top w:val="nil"/>
              <w:left w:val="nil"/>
              <w:bottom w:val="nil"/>
              <w:right w:val="nil"/>
            </w:tcBorders>
            <w:noWrap/>
            <w:vAlign w:val="center"/>
            <w:hideMark/>
          </w:tcPr>
          <w:p w14:paraId="598F7342"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1.787.108</w:t>
            </w:r>
          </w:p>
        </w:tc>
        <w:tc>
          <w:tcPr>
            <w:tcW w:w="1051" w:type="pct"/>
            <w:tcBorders>
              <w:top w:val="nil"/>
              <w:left w:val="nil"/>
              <w:bottom w:val="nil"/>
              <w:right w:val="nil"/>
            </w:tcBorders>
            <w:noWrap/>
            <w:vAlign w:val="center"/>
            <w:hideMark/>
          </w:tcPr>
          <w:p w14:paraId="6F459AC4"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239.108 </w:t>
            </w:r>
          </w:p>
        </w:tc>
      </w:tr>
      <w:tr w:rsidR="00D87550" w:rsidRPr="00D87550" w14:paraId="777C9547" w14:textId="77777777" w:rsidTr="00D87550">
        <w:trPr>
          <w:trHeight w:val="323"/>
        </w:trPr>
        <w:tc>
          <w:tcPr>
            <w:tcW w:w="2577" w:type="pct"/>
            <w:tcBorders>
              <w:top w:val="nil"/>
              <w:left w:val="nil"/>
              <w:bottom w:val="nil"/>
              <w:right w:val="nil"/>
            </w:tcBorders>
            <w:noWrap/>
            <w:vAlign w:val="center"/>
            <w:hideMark/>
          </w:tcPr>
          <w:p w14:paraId="69FE5402"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Imobilizado</w:t>
            </w:r>
          </w:p>
        </w:tc>
        <w:tc>
          <w:tcPr>
            <w:tcW w:w="371" w:type="pct"/>
            <w:tcBorders>
              <w:top w:val="nil"/>
              <w:left w:val="nil"/>
              <w:bottom w:val="nil"/>
              <w:right w:val="nil"/>
            </w:tcBorders>
            <w:noWrap/>
            <w:vAlign w:val="center"/>
            <w:hideMark/>
          </w:tcPr>
          <w:p w14:paraId="5CE9C6F6"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19</w:t>
            </w:r>
          </w:p>
        </w:tc>
        <w:tc>
          <w:tcPr>
            <w:tcW w:w="1001" w:type="pct"/>
            <w:tcBorders>
              <w:top w:val="nil"/>
              <w:left w:val="nil"/>
              <w:bottom w:val="nil"/>
              <w:right w:val="nil"/>
            </w:tcBorders>
            <w:noWrap/>
            <w:vAlign w:val="center"/>
            <w:hideMark/>
          </w:tcPr>
          <w:p w14:paraId="0F82BD56"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2.741.306</w:t>
            </w:r>
          </w:p>
        </w:tc>
        <w:tc>
          <w:tcPr>
            <w:tcW w:w="1051" w:type="pct"/>
            <w:tcBorders>
              <w:top w:val="nil"/>
              <w:left w:val="nil"/>
              <w:bottom w:val="nil"/>
              <w:right w:val="nil"/>
            </w:tcBorders>
            <w:noWrap/>
            <w:vAlign w:val="center"/>
            <w:hideMark/>
          </w:tcPr>
          <w:p w14:paraId="25A64A49"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2.791.423 </w:t>
            </w:r>
          </w:p>
        </w:tc>
      </w:tr>
      <w:tr w:rsidR="00D87550" w:rsidRPr="00D87550" w14:paraId="7A2B03C2" w14:textId="77777777" w:rsidTr="00D87550">
        <w:trPr>
          <w:trHeight w:val="323"/>
        </w:trPr>
        <w:tc>
          <w:tcPr>
            <w:tcW w:w="2577" w:type="pct"/>
            <w:tcBorders>
              <w:top w:val="nil"/>
              <w:left w:val="nil"/>
              <w:bottom w:val="nil"/>
              <w:right w:val="nil"/>
            </w:tcBorders>
            <w:noWrap/>
            <w:vAlign w:val="center"/>
            <w:hideMark/>
          </w:tcPr>
          <w:p w14:paraId="0177BEEE"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371" w:type="pct"/>
            <w:tcBorders>
              <w:top w:val="nil"/>
              <w:left w:val="nil"/>
              <w:bottom w:val="nil"/>
              <w:right w:val="nil"/>
            </w:tcBorders>
            <w:noWrap/>
            <w:vAlign w:val="center"/>
            <w:hideMark/>
          </w:tcPr>
          <w:p w14:paraId="69E466EE"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1001" w:type="pct"/>
            <w:tcBorders>
              <w:top w:val="nil"/>
              <w:left w:val="nil"/>
              <w:bottom w:val="nil"/>
              <w:right w:val="nil"/>
            </w:tcBorders>
            <w:noWrap/>
            <w:vAlign w:val="center"/>
            <w:hideMark/>
          </w:tcPr>
          <w:p w14:paraId="7A4DBAAF"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1051" w:type="pct"/>
            <w:tcBorders>
              <w:top w:val="nil"/>
              <w:left w:val="nil"/>
              <w:bottom w:val="nil"/>
              <w:right w:val="nil"/>
            </w:tcBorders>
            <w:noWrap/>
            <w:vAlign w:val="center"/>
            <w:hideMark/>
          </w:tcPr>
          <w:p w14:paraId="12FFCB68"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7EC00432" w14:textId="77777777" w:rsidTr="00D87550">
        <w:trPr>
          <w:trHeight w:val="323"/>
        </w:trPr>
        <w:tc>
          <w:tcPr>
            <w:tcW w:w="2577" w:type="pct"/>
            <w:tcBorders>
              <w:top w:val="single" w:sz="4" w:space="0" w:color="auto"/>
              <w:left w:val="nil"/>
              <w:bottom w:val="single" w:sz="4" w:space="0" w:color="auto"/>
              <w:right w:val="nil"/>
            </w:tcBorders>
            <w:noWrap/>
            <w:vAlign w:val="center"/>
            <w:hideMark/>
          </w:tcPr>
          <w:p w14:paraId="5F3C2568"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Total do ativo não circulante</w:t>
            </w:r>
          </w:p>
        </w:tc>
        <w:tc>
          <w:tcPr>
            <w:tcW w:w="371" w:type="pct"/>
            <w:tcBorders>
              <w:top w:val="single" w:sz="4" w:space="0" w:color="auto"/>
              <w:left w:val="nil"/>
              <w:bottom w:val="single" w:sz="4" w:space="0" w:color="auto"/>
              <w:right w:val="nil"/>
            </w:tcBorders>
            <w:noWrap/>
            <w:vAlign w:val="center"/>
            <w:hideMark/>
          </w:tcPr>
          <w:p w14:paraId="2173F168" w14:textId="77777777" w:rsidR="00D87550" w:rsidRPr="00D87550" w:rsidRDefault="00D87550" w:rsidP="00D87550">
            <w:pPr>
              <w:spacing w:after="0" w:line="240" w:lineRule="auto"/>
              <w:jc w:val="right"/>
              <w:rPr>
                <w:rFonts w:ascii="Century" w:eastAsia="Times New Roman" w:hAnsi="Century" w:cs="Calibri"/>
                <w:b/>
                <w:bCs/>
                <w:sz w:val="20"/>
                <w:szCs w:val="20"/>
                <w:lang w:eastAsia="pt-BR"/>
              </w:rPr>
            </w:pPr>
            <w:r w:rsidRPr="00D87550">
              <w:rPr>
                <w:rFonts w:ascii="Century" w:eastAsia="Times New Roman" w:hAnsi="Century" w:cs="Calibri"/>
                <w:b/>
                <w:bCs/>
                <w:sz w:val="20"/>
                <w:szCs w:val="20"/>
                <w:lang w:eastAsia="pt-BR"/>
              </w:rPr>
              <w:t> </w:t>
            </w:r>
          </w:p>
        </w:tc>
        <w:tc>
          <w:tcPr>
            <w:tcW w:w="1001" w:type="pct"/>
            <w:tcBorders>
              <w:top w:val="single" w:sz="4" w:space="0" w:color="auto"/>
              <w:left w:val="nil"/>
              <w:bottom w:val="single" w:sz="4" w:space="0" w:color="auto"/>
              <w:right w:val="nil"/>
            </w:tcBorders>
            <w:noWrap/>
            <w:vAlign w:val="center"/>
            <w:hideMark/>
          </w:tcPr>
          <w:p w14:paraId="7800E876" w14:textId="77777777" w:rsidR="00D87550" w:rsidRPr="00D87550" w:rsidRDefault="00D87550" w:rsidP="00D87550">
            <w:pPr>
              <w:spacing w:after="0" w:line="240" w:lineRule="auto"/>
              <w:jc w:val="right"/>
              <w:rPr>
                <w:rFonts w:ascii="Century" w:eastAsia="Times New Roman" w:hAnsi="Century" w:cs="Calibri"/>
                <w:b/>
                <w:bCs/>
                <w:sz w:val="20"/>
                <w:szCs w:val="20"/>
                <w:lang w:eastAsia="pt-BR"/>
              </w:rPr>
            </w:pPr>
            <w:r w:rsidRPr="00D87550">
              <w:rPr>
                <w:rFonts w:ascii="Century" w:eastAsia="Times New Roman" w:hAnsi="Century" w:cs="Calibri"/>
                <w:b/>
                <w:bCs/>
                <w:sz w:val="20"/>
                <w:szCs w:val="20"/>
                <w:lang w:eastAsia="pt-BR"/>
              </w:rPr>
              <w:t>67.155.864</w:t>
            </w:r>
          </w:p>
        </w:tc>
        <w:tc>
          <w:tcPr>
            <w:tcW w:w="1051" w:type="pct"/>
            <w:tcBorders>
              <w:top w:val="single" w:sz="4" w:space="0" w:color="auto"/>
              <w:left w:val="nil"/>
              <w:bottom w:val="single" w:sz="4" w:space="0" w:color="auto"/>
              <w:right w:val="nil"/>
            </w:tcBorders>
            <w:noWrap/>
            <w:vAlign w:val="center"/>
            <w:hideMark/>
          </w:tcPr>
          <w:p w14:paraId="55E2F439"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xml:space="preserve">66.223.688 </w:t>
            </w:r>
          </w:p>
        </w:tc>
      </w:tr>
      <w:tr w:rsidR="00D87550" w:rsidRPr="00D87550" w14:paraId="2F67860B" w14:textId="77777777" w:rsidTr="00D87550">
        <w:trPr>
          <w:trHeight w:val="323"/>
        </w:trPr>
        <w:tc>
          <w:tcPr>
            <w:tcW w:w="2577" w:type="pct"/>
            <w:tcBorders>
              <w:top w:val="nil"/>
              <w:left w:val="nil"/>
              <w:bottom w:val="nil"/>
              <w:right w:val="nil"/>
            </w:tcBorders>
            <w:noWrap/>
            <w:vAlign w:val="center"/>
            <w:hideMark/>
          </w:tcPr>
          <w:p w14:paraId="276DFC09"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p>
        </w:tc>
        <w:tc>
          <w:tcPr>
            <w:tcW w:w="371" w:type="pct"/>
            <w:tcBorders>
              <w:top w:val="nil"/>
              <w:left w:val="nil"/>
              <w:bottom w:val="nil"/>
              <w:right w:val="nil"/>
            </w:tcBorders>
            <w:noWrap/>
            <w:vAlign w:val="center"/>
            <w:hideMark/>
          </w:tcPr>
          <w:p w14:paraId="416AA123" w14:textId="77777777" w:rsidR="00D87550" w:rsidRPr="00D87550" w:rsidRDefault="00D87550" w:rsidP="00D87550">
            <w:pPr>
              <w:spacing w:after="0" w:line="240" w:lineRule="auto"/>
              <w:jc w:val="right"/>
              <w:rPr>
                <w:rFonts w:ascii="Times New Roman" w:eastAsia="Times New Roman" w:hAnsi="Times New Roman" w:cs="Times New Roman"/>
                <w:sz w:val="20"/>
                <w:szCs w:val="20"/>
                <w:lang w:eastAsia="pt-BR"/>
              </w:rPr>
            </w:pPr>
          </w:p>
        </w:tc>
        <w:tc>
          <w:tcPr>
            <w:tcW w:w="1001" w:type="pct"/>
            <w:tcBorders>
              <w:top w:val="nil"/>
              <w:left w:val="nil"/>
              <w:bottom w:val="nil"/>
              <w:right w:val="nil"/>
            </w:tcBorders>
            <w:noWrap/>
            <w:vAlign w:val="center"/>
            <w:hideMark/>
          </w:tcPr>
          <w:p w14:paraId="32B49A93"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1051" w:type="pct"/>
            <w:tcBorders>
              <w:top w:val="nil"/>
              <w:left w:val="nil"/>
              <w:bottom w:val="nil"/>
              <w:right w:val="nil"/>
            </w:tcBorders>
            <w:noWrap/>
            <w:vAlign w:val="center"/>
            <w:hideMark/>
          </w:tcPr>
          <w:p w14:paraId="559AD198"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670185E6" w14:textId="77777777" w:rsidTr="00D87550">
        <w:trPr>
          <w:trHeight w:val="323"/>
        </w:trPr>
        <w:tc>
          <w:tcPr>
            <w:tcW w:w="2577" w:type="pct"/>
            <w:tcBorders>
              <w:top w:val="single" w:sz="4" w:space="0" w:color="auto"/>
              <w:left w:val="nil"/>
              <w:bottom w:val="single" w:sz="4" w:space="0" w:color="auto"/>
              <w:right w:val="nil"/>
            </w:tcBorders>
            <w:noWrap/>
            <w:vAlign w:val="center"/>
            <w:hideMark/>
          </w:tcPr>
          <w:p w14:paraId="318E14F6"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Total do Ativo</w:t>
            </w:r>
          </w:p>
        </w:tc>
        <w:tc>
          <w:tcPr>
            <w:tcW w:w="371" w:type="pct"/>
            <w:tcBorders>
              <w:top w:val="single" w:sz="4" w:space="0" w:color="auto"/>
              <w:left w:val="nil"/>
              <w:bottom w:val="single" w:sz="4" w:space="0" w:color="auto"/>
              <w:right w:val="nil"/>
            </w:tcBorders>
            <w:noWrap/>
            <w:vAlign w:val="center"/>
            <w:hideMark/>
          </w:tcPr>
          <w:p w14:paraId="32C6E75A" w14:textId="77777777" w:rsidR="00D87550" w:rsidRPr="00D87550" w:rsidRDefault="00D87550" w:rsidP="00D87550">
            <w:pPr>
              <w:spacing w:after="0" w:line="240" w:lineRule="auto"/>
              <w:jc w:val="right"/>
              <w:rPr>
                <w:rFonts w:ascii="Century" w:eastAsia="Times New Roman" w:hAnsi="Century" w:cs="Calibri"/>
                <w:b/>
                <w:bCs/>
                <w:sz w:val="20"/>
                <w:szCs w:val="20"/>
                <w:lang w:eastAsia="pt-BR"/>
              </w:rPr>
            </w:pPr>
            <w:r w:rsidRPr="00D87550">
              <w:rPr>
                <w:rFonts w:ascii="Century" w:eastAsia="Times New Roman" w:hAnsi="Century" w:cs="Calibri"/>
                <w:b/>
                <w:bCs/>
                <w:sz w:val="20"/>
                <w:szCs w:val="20"/>
                <w:lang w:eastAsia="pt-BR"/>
              </w:rPr>
              <w:t> </w:t>
            </w:r>
          </w:p>
        </w:tc>
        <w:tc>
          <w:tcPr>
            <w:tcW w:w="1001" w:type="pct"/>
            <w:tcBorders>
              <w:top w:val="single" w:sz="4" w:space="0" w:color="auto"/>
              <w:left w:val="nil"/>
              <w:bottom w:val="single" w:sz="4" w:space="0" w:color="auto"/>
              <w:right w:val="nil"/>
            </w:tcBorders>
            <w:noWrap/>
            <w:vAlign w:val="center"/>
            <w:hideMark/>
          </w:tcPr>
          <w:p w14:paraId="13A63433" w14:textId="77777777" w:rsidR="00D87550" w:rsidRPr="00D87550" w:rsidRDefault="00D87550" w:rsidP="00D87550">
            <w:pPr>
              <w:spacing w:after="0" w:line="240" w:lineRule="auto"/>
              <w:jc w:val="right"/>
              <w:rPr>
                <w:rFonts w:ascii="Century" w:eastAsia="Times New Roman" w:hAnsi="Century" w:cs="Calibri"/>
                <w:b/>
                <w:bCs/>
                <w:sz w:val="20"/>
                <w:szCs w:val="20"/>
                <w:lang w:eastAsia="pt-BR"/>
              </w:rPr>
            </w:pPr>
            <w:r w:rsidRPr="00D87550">
              <w:rPr>
                <w:rFonts w:ascii="Century" w:eastAsia="Times New Roman" w:hAnsi="Century" w:cs="Calibri"/>
                <w:b/>
                <w:bCs/>
                <w:sz w:val="20"/>
                <w:szCs w:val="20"/>
                <w:lang w:eastAsia="pt-BR"/>
              </w:rPr>
              <w:t>101.374.837</w:t>
            </w:r>
          </w:p>
        </w:tc>
        <w:tc>
          <w:tcPr>
            <w:tcW w:w="1051" w:type="pct"/>
            <w:tcBorders>
              <w:top w:val="single" w:sz="4" w:space="0" w:color="auto"/>
              <w:left w:val="nil"/>
              <w:bottom w:val="single" w:sz="4" w:space="0" w:color="auto"/>
              <w:right w:val="nil"/>
            </w:tcBorders>
            <w:noWrap/>
            <w:vAlign w:val="center"/>
            <w:hideMark/>
          </w:tcPr>
          <w:p w14:paraId="6A2D4D76"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xml:space="preserve">96.471.286 </w:t>
            </w:r>
          </w:p>
        </w:tc>
      </w:tr>
    </w:tbl>
    <w:p w14:paraId="407AC72F" w14:textId="77777777" w:rsidR="00D87550" w:rsidRDefault="00D87550"/>
    <w:p w14:paraId="41382EDD" w14:textId="77777777" w:rsidR="00D87550" w:rsidRDefault="00D87550">
      <w:r>
        <w:br w:type="page"/>
      </w:r>
    </w:p>
    <w:p w14:paraId="236AB77E"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lastRenderedPageBreak/>
        <w:t>BALANÇO PATRIMONIAL EM 31.12.2025</w:t>
      </w:r>
    </w:p>
    <w:p w14:paraId="500E2321" w14:textId="77777777" w:rsidR="00D87550" w:rsidRDefault="00D87550"/>
    <w:tbl>
      <w:tblPr>
        <w:tblW w:w="5000" w:type="pct"/>
        <w:tblCellMar>
          <w:left w:w="70" w:type="dxa"/>
          <w:right w:w="70" w:type="dxa"/>
        </w:tblCellMar>
        <w:tblLook w:val="04A0" w:firstRow="1" w:lastRow="0" w:firstColumn="1" w:lastColumn="0" w:noHBand="0" w:noVBand="1"/>
      </w:tblPr>
      <w:tblGrid>
        <w:gridCol w:w="5618"/>
        <w:gridCol w:w="664"/>
        <w:gridCol w:w="360"/>
        <w:gridCol w:w="793"/>
        <w:gridCol w:w="1151"/>
        <w:gridCol w:w="467"/>
        <w:gridCol w:w="1413"/>
      </w:tblGrid>
      <w:tr w:rsidR="00D87550" w:rsidRPr="00D87550" w14:paraId="5E79DCAD" w14:textId="77777777" w:rsidTr="00D87550">
        <w:trPr>
          <w:trHeight w:val="323"/>
        </w:trPr>
        <w:tc>
          <w:tcPr>
            <w:tcW w:w="2684" w:type="pct"/>
            <w:tcBorders>
              <w:top w:val="nil"/>
              <w:left w:val="nil"/>
              <w:bottom w:val="nil"/>
              <w:right w:val="nil"/>
            </w:tcBorders>
            <w:noWrap/>
            <w:vAlign w:val="center"/>
            <w:hideMark/>
          </w:tcPr>
          <w:p w14:paraId="49669855"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PASSIVO</w:t>
            </w:r>
          </w:p>
        </w:tc>
        <w:tc>
          <w:tcPr>
            <w:tcW w:w="317" w:type="pct"/>
            <w:tcBorders>
              <w:top w:val="nil"/>
              <w:left w:val="nil"/>
              <w:bottom w:val="nil"/>
              <w:right w:val="nil"/>
            </w:tcBorders>
            <w:noWrap/>
            <w:vAlign w:val="center"/>
            <w:hideMark/>
          </w:tcPr>
          <w:p w14:paraId="7FEECB91"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Nota</w:t>
            </w:r>
          </w:p>
        </w:tc>
        <w:tc>
          <w:tcPr>
            <w:tcW w:w="1101" w:type="pct"/>
            <w:gridSpan w:val="3"/>
            <w:tcBorders>
              <w:top w:val="nil"/>
              <w:left w:val="nil"/>
              <w:bottom w:val="nil"/>
              <w:right w:val="nil"/>
            </w:tcBorders>
            <w:noWrap/>
            <w:vAlign w:val="center"/>
            <w:hideMark/>
          </w:tcPr>
          <w:p w14:paraId="07047FF3"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2025</w:t>
            </w:r>
          </w:p>
        </w:tc>
        <w:tc>
          <w:tcPr>
            <w:tcW w:w="898" w:type="pct"/>
            <w:gridSpan w:val="2"/>
            <w:tcBorders>
              <w:top w:val="nil"/>
              <w:left w:val="nil"/>
              <w:bottom w:val="nil"/>
              <w:right w:val="nil"/>
            </w:tcBorders>
            <w:noWrap/>
            <w:vAlign w:val="center"/>
            <w:hideMark/>
          </w:tcPr>
          <w:p w14:paraId="52AD53EF"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2024</w:t>
            </w:r>
          </w:p>
        </w:tc>
      </w:tr>
      <w:tr w:rsidR="00D87550" w:rsidRPr="00D87550" w14:paraId="086052A3" w14:textId="77777777" w:rsidTr="00D87550">
        <w:trPr>
          <w:trHeight w:val="323"/>
        </w:trPr>
        <w:tc>
          <w:tcPr>
            <w:tcW w:w="2684" w:type="pct"/>
            <w:tcBorders>
              <w:top w:val="nil"/>
              <w:left w:val="nil"/>
              <w:bottom w:val="nil"/>
              <w:right w:val="nil"/>
            </w:tcBorders>
            <w:noWrap/>
            <w:vAlign w:val="center"/>
            <w:hideMark/>
          </w:tcPr>
          <w:p w14:paraId="0413C56C"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p>
        </w:tc>
        <w:tc>
          <w:tcPr>
            <w:tcW w:w="317" w:type="pct"/>
            <w:tcBorders>
              <w:top w:val="nil"/>
              <w:left w:val="nil"/>
              <w:bottom w:val="nil"/>
              <w:right w:val="nil"/>
            </w:tcBorders>
            <w:noWrap/>
            <w:vAlign w:val="center"/>
            <w:hideMark/>
          </w:tcPr>
          <w:p w14:paraId="05897B48"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1101" w:type="pct"/>
            <w:gridSpan w:val="3"/>
            <w:tcBorders>
              <w:top w:val="nil"/>
              <w:left w:val="nil"/>
              <w:bottom w:val="nil"/>
              <w:right w:val="nil"/>
            </w:tcBorders>
            <w:noWrap/>
            <w:vAlign w:val="center"/>
            <w:hideMark/>
          </w:tcPr>
          <w:p w14:paraId="064B31BB"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898" w:type="pct"/>
            <w:gridSpan w:val="2"/>
            <w:tcBorders>
              <w:top w:val="nil"/>
              <w:left w:val="nil"/>
              <w:bottom w:val="nil"/>
              <w:right w:val="nil"/>
            </w:tcBorders>
            <w:noWrap/>
            <w:vAlign w:val="center"/>
            <w:hideMark/>
          </w:tcPr>
          <w:p w14:paraId="0DBF8BBC"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32512D5C" w14:textId="77777777" w:rsidTr="00D87550">
        <w:trPr>
          <w:trHeight w:val="323"/>
        </w:trPr>
        <w:tc>
          <w:tcPr>
            <w:tcW w:w="2684" w:type="pct"/>
            <w:tcBorders>
              <w:top w:val="nil"/>
              <w:left w:val="nil"/>
              <w:bottom w:val="nil"/>
              <w:right w:val="nil"/>
            </w:tcBorders>
            <w:noWrap/>
            <w:vAlign w:val="center"/>
            <w:hideMark/>
          </w:tcPr>
          <w:p w14:paraId="724EF88D"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CIRCULANTE</w:t>
            </w:r>
          </w:p>
        </w:tc>
        <w:tc>
          <w:tcPr>
            <w:tcW w:w="317" w:type="pct"/>
            <w:tcBorders>
              <w:top w:val="nil"/>
              <w:left w:val="nil"/>
              <w:bottom w:val="nil"/>
              <w:right w:val="nil"/>
            </w:tcBorders>
            <w:noWrap/>
            <w:vAlign w:val="center"/>
            <w:hideMark/>
          </w:tcPr>
          <w:p w14:paraId="5AA2220C"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p>
        </w:tc>
        <w:tc>
          <w:tcPr>
            <w:tcW w:w="1101" w:type="pct"/>
            <w:gridSpan w:val="3"/>
            <w:tcBorders>
              <w:top w:val="nil"/>
              <w:left w:val="nil"/>
              <w:bottom w:val="nil"/>
              <w:right w:val="nil"/>
            </w:tcBorders>
            <w:noWrap/>
            <w:vAlign w:val="center"/>
            <w:hideMark/>
          </w:tcPr>
          <w:p w14:paraId="190104B2"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898" w:type="pct"/>
            <w:gridSpan w:val="2"/>
            <w:tcBorders>
              <w:top w:val="nil"/>
              <w:left w:val="nil"/>
              <w:bottom w:val="nil"/>
              <w:right w:val="nil"/>
            </w:tcBorders>
            <w:noWrap/>
            <w:vAlign w:val="center"/>
            <w:hideMark/>
          </w:tcPr>
          <w:p w14:paraId="571DEE70"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0087DFDF" w14:textId="77777777" w:rsidTr="00D87550">
        <w:trPr>
          <w:trHeight w:val="323"/>
        </w:trPr>
        <w:tc>
          <w:tcPr>
            <w:tcW w:w="2684" w:type="pct"/>
            <w:tcBorders>
              <w:top w:val="nil"/>
              <w:left w:val="nil"/>
              <w:bottom w:val="nil"/>
              <w:right w:val="nil"/>
            </w:tcBorders>
            <w:noWrap/>
            <w:vAlign w:val="center"/>
            <w:hideMark/>
          </w:tcPr>
          <w:p w14:paraId="6F45E0C2"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Fornecedores e prestadores de serviços</w:t>
            </w:r>
          </w:p>
        </w:tc>
        <w:tc>
          <w:tcPr>
            <w:tcW w:w="317" w:type="pct"/>
            <w:tcBorders>
              <w:top w:val="nil"/>
              <w:left w:val="nil"/>
              <w:bottom w:val="nil"/>
              <w:right w:val="nil"/>
            </w:tcBorders>
            <w:noWrap/>
            <w:vAlign w:val="center"/>
            <w:hideMark/>
          </w:tcPr>
          <w:p w14:paraId="66CC7779"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21 </w:t>
            </w:r>
          </w:p>
        </w:tc>
        <w:tc>
          <w:tcPr>
            <w:tcW w:w="1101" w:type="pct"/>
            <w:gridSpan w:val="3"/>
            <w:tcBorders>
              <w:top w:val="nil"/>
              <w:left w:val="nil"/>
              <w:bottom w:val="nil"/>
              <w:right w:val="nil"/>
            </w:tcBorders>
            <w:noWrap/>
            <w:vAlign w:val="center"/>
            <w:hideMark/>
          </w:tcPr>
          <w:p w14:paraId="4D1046AE"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2.035.125</w:t>
            </w:r>
          </w:p>
        </w:tc>
        <w:tc>
          <w:tcPr>
            <w:tcW w:w="898" w:type="pct"/>
            <w:gridSpan w:val="2"/>
            <w:tcBorders>
              <w:top w:val="nil"/>
              <w:left w:val="nil"/>
              <w:bottom w:val="nil"/>
              <w:right w:val="nil"/>
            </w:tcBorders>
            <w:noWrap/>
            <w:vAlign w:val="center"/>
            <w:hideMark/>
          </w:tcPr>
          <w:p w14:paraId="0474665E"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347.085 </w:t>
            </w:r>
          </w:p>
        </w:tc>
      </w:tr>
      <w:tr w:rsidR="00D87550" w:rsidRPr="00D87550" w14:paraId="2CCDD0C3" w14:textId="77777777" w:rsidTr="00D87550">
        <w:trPr>
          <w:trHeight w:val="323"/>
        </w:trPr>
        <w:tc>
          <w:tcPr>
            <w:tcW w:w="2684" w:type="pct"/>
            <w:tcBorders>
              <w:top w:val="nil"/>
              <w:left w:val="nil"/>
              <w:bottom w:val="nil"/>
              <w:right w:val="nil"/>
            </w:tcBorders>
            <w:noWrap/>
            <w:vAlign w:val="center"/>
            <w:hideMark/>
          </w:tcPr>
          <w:p w14:paraId="77A41891"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Convênios e transferências</w:t>
            </w:r>
          </w:p>
        </w:tc>
        <w:tc>
          <w:tcPr>
            <w:tcW w:w="317" w:type="pct"/>
            <w:tcBorders>
              <w:top w:val="nil"/>
              <w:left w:val="nil"/>
              <w:bottom w:val="nil"/>
              <w:right w:val="nil"/>
            </w:tcBorders>
            <w:noWrap/>
            <w:vAlign w:val="center"/>
            <w:hideMark/>
          </w:tcPr>
          <w:p w14:paraId="6D4F7978"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22 </w:t>
            </w:r>
          </w:p>
        </w:tc>
        <w:tc>
          <w:tcPr>
            <w:tcW w:w="1101" w:type="pct"/>
            <w:gridSpan w:val="3"/>
            <w:tcBorders>
              <w:top w:val="nil"/>
              <w:left w:val="nil"/>
              <w:bottom w:val="nil"/>
              <w:right w:val="nil"/>
            </w:tcBorders>
            <w:noWrap/>
            <w:vAlign w:val="center"/>
            <w:hideMark/>
          </w:tcPr>
          <w:p w14:paraId="1CF3F3A5"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885.811</w:t>
            </w:r>
          </w:p>
        </w:tc>
        <w:tc>
          <w:tcPr>
            <w:tcW w:w="898" w:type="pct"/>
            <w:gridSpan w:val="2"/>
            <w:tcBorders>
              <w:top w:val="nil"/>
              <w:left w:val="nil"/>
              <w:bottom w:val="nil"/>
              <w:right w:val="nil"/>
            </w:tcBorders>
            <w:noWrap/>
            <w:vAlign w:val="center"/>
            <w:hideMark/>
          </w:tcPr>
          <w:p w14:paraId="55D6CEF1"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0 </w:t>
            </w:r>
          </w:p>
        </w:tc>
      </w:tr>
      <w:tr w:rsidR="00D87550" w:rsidRPr="00D87550" w14:paraId="0F372128" w14:textId="77777777" w:rsidTr="00D87550">
        <w:trPr>
          <w:trHeight w:val="323"/>
        </w:trPr>
        <w:tc>
          <w:tcPr>
            <w:tcW w:w="2684" w:type="pct"/>
            <w:tcBorders>
              <w:top w:val="nil"/>
              <w:left w:val="nil"/>
              <w:bottom w:val="nil"/>
              <w:right w:val="nil"/>
            </w:tcBorders>
            <w:noWrap/>
            <w:vAlign w:val="center"/>
            <w:hideMark/>
          </w:tcPr>
          <w:p w14:paraId="6ECEA12E"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Impostos, Contribuições e Consignações a recolher</w:t>
            </w:r>
          </w:p>
        </w:tc>
        <w:tc>
          <w:tcPr>
            <w:tcW w:w="317" w:type="pct"/>
            <w:tcBorders>
              <w:top w:val="nil"/>
              <w:left w:val="nil"/>
              <w:bottom w:val="nil"/>
              <w:right w:val="nil"/>
            </w:tcBorders>
            <w:noWrap/>
            <w:vAlign w:val="center"/>
            <w:hideMark/>
          </w:tcPr>
          <w:p w14:paraId="080A4179"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23 </w:t>
            </w:r>
          </w:p>
        </w:tc>
        <w:tc>
          <w:tcPr>
            <w:tcW w:w="1101" w:type="pct"/>
            <w:gridSpan w:val="3"/>
            <w:tcBorders>
              <w:top w:val="nil"/>
              <w:left w:val="nil"/>
              <w:bottom w:val="nil"/>
              <w:right w:val="nil"/>
            </w:tcBorders>
            <w:noWrap/>
            <w:vAlign w:val="center"/>
            <w:hideMark/>
          </w:tcPr>
          <w:p w14:paraId="0C7E77D5"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3.010.550</w:t>
            </w:r>
          </w:p>
        </w:tc>
        <w:tc>
          <w:tcPr>
            <w:tcW w:w="898" w:type="pct"/>
            <w:gridSpan w:val="2"/>
            <w:tcBorders>
              <w:top w:val="nil"/>
              <w:left w:val="nil"/>
              <w:bottom w:val="nil"/>
              <w:right w:val="nil"/>
            </w:tcBorders>
            <w:noWrap/>
            <w:vAlign w:val="center"/>
            <w:hideMark/>
          </w:tcPr>
          <w:p w14:paraId="6AC7D4AF"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2.342.468 </w:t>
            </w:r>
          </w:p>
        </w:tc>
      </w:tr>
      <w:tr w:rsidR="00D87550" w:rsidRPr="00D87550" w14:paraId="072C2B38" w14:textId="77777777" w:rsidTr="00D87550">
        <w:trPr>
          <w:trHeight w:val="323"/>
        </w:trPr>
        <w:tc>
          <w:tcPr>
            <w:tcW w:w="2684" w:type="pct"/>
            <w:tcBorders>
              <w:top w:val="nil"/>
              <w:left w:val="nil"/>
              <w:bottom w:val="nil"/>
              <w:right w:val="nil"/>
            </w:tcBorders>
            <w:noWrap/>
            <w:vAlign w:val="center"/>
            <w:hideMark/>
          </w:tcPr>
          <w:p w14:paraId="50FFBE71"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Obrigações relativas a empregados</w:t>
            </w:r>
          </w:p>
        </w:tc>
        <w:tc>
          <w:tcPr>
            <w:tcW w:w="317" w:type="pct"/>
            <w:tcBorders>
              <w:top w:val="nil"/>
              <w:left w:val="nil"/>
              <w:bottom w:val="nil"/>
              <w:right w:val="nil"/>
            </w:tcBorders>
            <w:noWrap/>
            <w:vAlign w:val="center"/>
            <w:hideMark/>
          </w:tcPr>
          <w:p w14:paraId="7E39D6C1"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24 </w:t>
            </w:r>
          </w:p>
        </w:tc>
        <w:tc>
          <w:tcPr>
            <w:tcW w:w="1101" w:type="pct"/>
            <w:gridSpan w:val="3"/>
            <w:tcBorders>
              <w:top w:val="nil"/>
              <w:left w:val="nil"/>
              <w:bottom w:val="nil"/>
              <w:right w:val="nil"/>
            </w:tcBorders>
            <w:noWrap/>
            <w:vAlign w:val="center"/>
            <w:hideMark/>
          </w:tcPr>
          <w:p w14:paraId="0BF0A4ED"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4.836</w:t>
            </w:r>
          </w:p>
        </w:tc>
        <w:tc>
          <w:tcPr>
            <w:tcW w:w="898" w:type="pct"/>
            <w:gridSpan w:val="2"/>
            <w:tcBorders>
              <w:top w:val="nil"/>
              <w:left w:val="nil"/>
              <w:bottom w:val="nil"/>
              <w:right w:val="nil"/>
            </w:tcBorders>
            <w:noWrap/>
            <w:vAlign w:val="center"/>
            <w:hideMark/>
          </w:tcPr>
          <w:p w14:paraId="29F3C07C"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3.897 </w:t>
            </w:r>
          </w:p>
        </w:tc>
      </w:tr>
      <w:tr w:rsidR="00D87550" w:rsidRPr="00D87550" w14:paraId="196942BE" w14:textId="77777777" w:rsidTr="00D87550">
        <w:trPr>
          <w:trHeight w:val="323"/>
        </w:trPr>
        <w:tc>
          <w:tcPr>
            <w:tcW w:w="2684" w:type="pct"/>
            <w:tcBorders>
              <w:top w:val="nil"/>
              <w:left w:val="nil"/>
              <w:bottom w:val="nil"/>
              <w:right w:val="nil"/>
            </w:tcBorders>
            <w:noWrap/>
            <w:vAlign w:val="center"/>
            <w:hideMark/>
          </w:tcPr>
          <w:p w14:paraId="4482B279"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Prêmios de seguros a pagar</w:t>
            </w:r>
          </w:p>
        </w:tc>
        <w:tc>
          <w:tcPr>
            <w:tcW w:w="317" w:type="pct"/>
            <w:tcBorders>
              <w:top w:val="nil"/>
              <w:left w:val="nil"/>
              <w:bottom w:val="nil"/>
              <w:right w:val="nil"/>
            </w:tcBorders>
            <w:noWrap/>
            <w:vAlign w:val="center"/>
            <w:hideMark/>
          </w:tcPr>
          <w:p w14:paraId="6505AF76"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25 </w:t>
            </w:r>
          </w:p>
        </w:tc>
        <w:tc>
          <w:tcPr>
            <w:tcW w:w="1101" w:type="pct"/>
            <w:gridSpan w:val="3"/>
            <w:tcBorders>
              <w:top w:val="nil"/>
              <w:left w:val="nil"/>
              <w:bottom w:val="nil"/>
              <w:right w:val="nil"/>
            </w:tcBorders>
            <w:noWrap/>
            <w:vAlign w:val="center"/>
            <w:hideMark/>
          </w:tcPr>
          <w:p w14:paraId="2629241A"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1.851.399</w:t>
            </w:r>
          </w:p>
        </w:tc>
        <w:tc>
          <w:tcPr>
            <w:tcW w:w="898" w:type="pct"/>
            <w:gridSpan w:val="2"/>
            <w:tcBorders>
              <w:top w:val="nil"/>
              <w:left w:val="nil"/>
              <w:bottom w:val="nil"/>
              <w:right w:val="nil"/>
            </w:tcBorders>
            <w:noWrap/>
            <w:vAlign w:val="center"/>
            <w:hideMark/>
          </w:tcPr>
          <w:p w14:paraId="135AB1F2"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1.851.399 </w:t>
            </w:r>
          </w:p>
        </w:tc>
      </w:tr>
      <w:tr w:rsidR="00D87550" w:rsidRPr="00D87550" w14:paraId="477E6AFF" w14:textId="77777777" w:rsidTr="00D87550">
        <w:trPr>
          <w:trHeight w:val="323"/>
        </w:trPr>
        <w:tc>
          <w:tcPr>
            <w:tcW w:w="2684" w:type="pct"/>
            <w:tcBorders>
              <w:top w:val="nil"/>
              <w:left w:val="nil"/>
              <w:bottom w:val="nil"/>
              <w:right w:val="nil"/>
            </w:tcBorders>
            <w:noWrap/>
            <w:vAlign w:val="center"/>
            <w:hideMark/>
          </w:tcPr>
          <w:p w14:paraId="763244D8"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Parcelamentos de natureza não tributária</w:t>
            </w:r>
          </w:p>
        </w:tc>
        <w:tc>
          <w:tcPr>
            <w:tcW w:w="317" w:type="pct"/>
            <w:tcBorders>
              <w:top w:val="nil"/>
              <w:left w:val="nil"/>
              <w:bottom w:val="nil"/>
              <w:right w:val="nil"/>
            </w:tcBorders>
            <w:noWrap/>
            <w:vAlign w:val="center"/>
            <w:hideMark/>
          </w:tcPr>
          <w:p w14:paraId="0187F9CD"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26 </w:t>
            </w:r>
          </w:p>
        </w:tc>
        <w:tc>
          <w:tcPr>
            <w:tcW w:w="1101" w:type="pct"/>
            <w:gridSpan w:val="3"/>
            <w:tcBorders>
              <w:top w:val="nil"/>
              <w:left w:val="nil"/>
              <w:bottom w:val="nil"/>
              <w:right w:val="nil"/>
            </w:tcBorders>
            <w:noWrap/>
            <w:vAlign w:val="center"/>
            <w:hideMark/>
          </w:tcPr>
          <w:p w14:paraId="5886CD2B"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41.892</w:t>
            </w:r>
          </w:p>
        </w:tc>
        <w:tc>
          <w:tcPr>
            <w:tcW w:w="898" w:type="pct"/>
            <w:gridSpan w:val="2"/>
            <w:tcBorders>
              <w:top w:val="nil"/>
              <w:left w:val="nil"/>
              <w:bottom w:val="nil"/>
              <w:right w:val="nil"/>
            </w:tcBorders>
            <w:noWrap/>
            <w:vAlign w:val="center"/>
            <w:hideMark/>
          </w:tcPr>
          <w:p w14:paraId="4679BE18"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544.589 </w:t>
            </w:r>
          </w:p>
        </w:tc>
      </w:tr>
      <w:tr w:rsidR="00D87550" w:rsidRPr="00D87550" w14:paraId="7DDF4752" w14:textId="77777777" w:rsidTr="00D87550">
        <w:trPr>
          <w:trHeight w:val="323"/>
        </w:trPr>
        <w:tc>
          <w:tcPr>
            <w:tcW w:w="2684" w:type="pct"/>
            <w:tcBorders>
              <w:top w:val="nil"/>
              <w:left w:val="nil"/>
              <w:bottom w:val="nil"/>
              <w:right w:val="nil"/>
            </w:tcBorders>
            <w:noWrap/>
            <w:vAlign w:val="center"/>
            <w:hideMark/>
          </w:tcPr>
          <w:p w14:paraId="57DB8F07"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Créditos a repassar</w:t>
            </w:r>
          </w:p>
        </w:tc>
        <w:tc>
          <w:tcPr>
            <w:tcW w:w="317" w:type="pct"/>
            <w:tcBorders>
              <w:top w:val="nil"/>
              <w:left w:val="nil"/>
              <w:bottom w:val="nil"/>
              <w:right w:val="nil"/>
            </w:tcBorders>
            <w:noWrap/>
            <w:vAlign w:val="center"/>
            <w:hideMark/>
          </w:tcPr>
          <w:p w14:paraId="1D0AE9F2"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16 </w:t>
            </w:r>
          </w:p>
        </w:tc>
        <w:tc>
          <w:tcPr>
            <w:tcW w:w="1101" w:type="pct"/>
            <w:gridSpan w:val="3"/>
            <w:tcBorders>
              <w:top w:val="nil"/>
              <w:left w:val="nil"/>
              <w:bottom w:val="nil"/>
              <w:right w:val="nil"/>
            </w:tcBorders>
            <w:noWrap/>
            <w:vAlign w:val="center"/>
            <w:hideMark/>
          </w:tcPr>
          <w:p w14:paraId="46BD99B1"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2.723.240</w:t>
            </w:r>
          </w:p>
        </w:tc>
        <w:tc>
          <w:tcPr>
            <w:tcW w:w="898" w:type="pct"/>
            <w:gridSpan w:val="2"/>
            <w:tcBorders>
              <w:top w:val="nil"/>
              <w:left w:val="nil"/>
              <w:bottom w:val="nil"/>
              <w:right w:val="nil"/>
            </w:tcBorders>
            <w:noWrap/>
            <w:vAlign w:val="center"/>
            <w:hideMark/>
          </w:tcPr>
          <w:p w14:paraId="72BDFEA7"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102.875 </w:t>
            </w:r>
          </w:p>
        </w:tc>
      </w:tr>
      <w:tr w:rsidR="00D87550" w:rsidRPr="00D87550" w14:paraId="4AC01DD7" w14:textId="77777777" w:rsidTr="00D87550">
        <w:trPr>
          <w:trHeight w:val="323"/>
        </w:trPr>
        <w:tc>
          <w:tcPr>
            <w:tcW w:w="2684" w:type="pct"/>
            <w:tcBorders>
              <w:top w:val="nil"/>
              <w:left w:val="nil"/>
              <w:bottom w:val="nil"/>
              <w:right w:val="nil"/>
            </w:tcBorders>
            <w:noWrap/>
            <w:vAlign w:val="center"/>
            <w:hideMark/>
          </w:tcPr>
          <w:p w14:paraId="79C02253"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FCVS a recolher</w:t>
            </w:r>
          </w:p>
        </w:tc>
        <w:tc>
          <w:tcPr>
            <w:tcW w:w="317" w:type="pct"/>
            <w:tcBorders>
              <w:top w:val="nil"/>
              <w:left w:val="nil"/>
              <w:bottom w:val="nil"/>
              <w:right w:val="nil"/>
            </w:tcBorders>
            <w:noWrap/>
            <w:vAlign w:val="center"/>
            <w:hideMark/>
          </w:tcPr>
          <w:p w14:paraId="5AF1CF00"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1101" w:type="pct"/>
            <w:gridSpan w:val="3"/>
            <w:tcBorders>
              <w:top w:val="nil"/>
              <w:left w:val="nil"/>
              <w:bottom w:val="nil"/>
              <w:right w:val="nil"/>
            </w:tcBorders>
            <w:noWrap/>
            <w:vAlign w:val="center"/>
            <w:hideMark/>
          </w:tcPr>
          <w:p w14:paraId="099F0ECA"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1.482.450</w:t>
            </w:r>
          </w:p>
        </w:tc>
        <w:tc>
          <w:tcPr>
            <w:tcW w:w="898" w:type="pct"/>
            <w:gridSpan w:val="2"/>
            <w:tcBorders>
              <w:top w:val="nil"/>
              <w:left w:val="nil"/>
              <w:bottom w:val="nil"/>
              <w:right w:val="nil"/>
            </w:tcBorders>
            <w:noWrap/>
            <w:vAlign w:val="center"/>
            <w:hideMark/>
          </w:tcPr>
          <w:p w14:paraId="3607226A"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1.482.450 </w:t>
            </w:r>
          </w:p>
        </w:tc>
      </w:tr>
      <w:tr w:rsidR="00D87550" w:rsidRPr="00D87550" w14:paraId="330A240B" w14:textId="77777777" w:rsidTr="00D87550">
        <w:trPr>
          <w:trHeight w:val="323"/>
        </w:trPr>
        <w:tc>
          <w:tcPr>
            <w:tcW w:w="2684" w:type="pct"/>
            <w:tcBorders>
              <w:top w:val="nil"/>
              <w:left w:val="nil"/>
              <w:bottom w:val="nil"/>
              <w:right w:val="nil"/>
            </w:tcBorders>
            <w:noWrap/>
            <w:vAlign w:val="center"/>
            <w:hideMark/>
          </w:tcPr>
          <w:p w14:paraId="47459912"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Obrigações por gestão de créditos</w:t>
            </w:r>
          </w:p>
        </w:tc>
        <w:tc>
          <w:tcPr>
            <w:tcW w:w="317" w:type="pct"/>
            <w:tcBorders>
              <w:top w:val="nil"/>
              <w:left w:val="nil"/>
              <w:bottom w:val="nil"/>
              <w:right w:val="nil"/>
            </w:tcBorders>
            <w:noWrap/>
            <w:vAlign w:val="center"/>
            <w:hideMark/>
          </w:tcPr>
          <w:p w14:paraId="540E2AD1"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1101" w:type="pct"/>
            <w:gridSpan w:val="3"/>
            <w:tcBorders>
              <w:top w:val="nil"/>
              <w:left w:val="nil"/>
              <w:bottom w:val="nil"/>
              <w:right w:val="nil"/>
            </w:tcBorders>
            <w:noWrap/>
            <w:vAlign w:val="center"/>
            <w:hideMark/>
          </w:tcPr>
          <w:p w14:paraId="3E8D879E"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1.539.759</w:t>
            </w:r>
          </w:p>
        </w:tc>
        <w:tc>
          <w:tcPr>
            <w:tcW w:w="898" w:type="pct"/>
            <w:gridSpan w:val="2"/>
            <w:tcBorders>
              <w:top w:val="nil"/>
              <w:left w:val="nil"/>
              <w:bottom w:val="nil"/>
              <w:right w:val="nil"/>
            </w:tcBorders>
            <w:noWrap/>
            <w:vAlign w:val="center"/>
            <w:hideMark/>
          </w:tcPr>
          <w:p w14:paraId="56987D42"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1.539.759 </w:t>
            </w:r>
          </w:p>
        </w:tc>
      </w:tr>
      <w:tr w:rsidR="00D87550" w:rsidRPr="00D87550" w14:paraId="0E89CBF6" w14:textId="77777777" w:rsidTr="00D87550">
        <w:trPr>
          <w:trHeight w:val="323"/>
        </w:trPr>
        <w:tc>
          <w:tcPr>
            <w:tcW w:w="2684" w:type="pct"/>
            <w:tcBorders>
              <w:top w:val="nil"/>
              <w:left w:val="nil"/>
              <w:bottom w:val="nil"/>
              <w:right w:val="nil"/>
            </w:tcBorders>
            <w:noWrap/>
            <w:vAlign w:val="center"/>
            <w:hideMark/>
          </w:tcPr>
          <w:p w14:paraId="27159662"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xml:space="preserve">  </w:t>
            </w:r>
            <w:r w:rsidRPr="00D87550">
              <w:rPr>
                <w:rFonts w:ascii="Century" w:eastAsia="Times New Roman" w:hAnsi="Century" w:cs="Calibri"/>
                <w:color w:val="000000"/>
                <w:sz w:val="20"/>
                <w:szCs w:val="20"/>
                <w:lang w:eastAsia="pt-BR"/>
              </w:rPr>
              <w:t>Valores credores transitórios</w:t>
            </w:r>
          </w:p>
        </w:tc>
        <w:tc>
          <w:tcPr>
            <w:tcW w:w="317" w:type="pct"/>
            <w:tcBorders>
              <w:top w:val="nil"/>
              <w:left w:val="nil"/>
              <w:bottom w:val="nil"/>
              <w:right w:val="nil"/>
            </w:tcBorders>
            <w:noWrap/>
            <w:vAlign w:val="center"/>
            <w:hideMark/>
          </w:tcPr>
          <w:p w14:paraId="02370605"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27 </w:t>
            </w:r>
          </w:p>
        </w:tc>
        <w:tc>
          <w:tcPr>
            <w:tcW w:w="1101" w:type="pct"/>
            <w:gridSpan w:val="3"/>
            <w:tcBorders>
              <w:top w:val="nil"/>
              <w:left w:val="nil"/>
              <w:bottom w:val="nil"/>
              <w:right w:val="nil"/>
            </w:tcBorders>
            <w:noWrap/>
            <w:vAlign w:val="center"/>
            <w:hideMark/>
          </w:tcPr>
          <w:p w14:paraId="13EEAE2F"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10.513.453</w:t>
            </w:r>
          </w:p>
        </w:tc>
        <w:tc>
          <w:tcPr>
            <w:tcW w:w="898" w:type="pct"/>
            <w:gridSpan w:val="2"/>
            <w:tcBorders>
              <w:top w:val="nil"/>
              <w:left w:val="nil"/>
              <w:bottom w:val="nil"/>
              <w:right w:val="nil"/>
            </w:tcBorders>
            <w:noWrap/>
            <w:vAlign w:val="center"/>
            <w:hideMark/>
          </w:tcPr>
          <w:p w14:paraId="469CF5AD"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6.013.453 </w:t>
            </w:r>
          </w:p>
        </w:tc>
      </w:tr>
      <w:tr w:rsidR="00D87550" w:rsidRPr="00D87550" w14:paraId="09F6D87C" w14:textId="77777777" w:rsidTr="00D87550">
        <w:trPr>
          <w:trHeight w:val="323"/>
        </w:trPr>
        <w:tc>
          <w:tcPr>
            <w:tcW w:w="2684" w:type="pct"/>
            <w:tcBorders>
              <w:top w:val="nil"/>
              <w:left w:val="nil"/>
              <w:bottom w:val="nil"/>
              <w:right w:val="nil"/>
            </w:tcBorders>
            <w:noWrap/>
            <w:vAlign w:val="center"/>
            <w:hideMark/>
          </w:tcPr>
          <w:p w14:paraId="5762553D"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Outros exigíveis a curto prazo</w:t>
            </w:r>
          </w:p>
        </w:tc>
        <w:tc>
          <w:tcPr>
            <w:tcW w:w="317" w:type="pct"/>
            <w:tcBorders>
              <w:top w:val="nil"/>
              <w:left w:val="nil"/>
              <w:bottom w:val="nil"/>
              <w:right w:val="nil"/>
            </w:tcBorders>
            <w:noWrap/>
            <w:vAlign w:val="center"/>
            <w:hideMark/>
          </w:tcPr>
          <w:p w14:paraId="726CD9D4"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28 </w:t>
            </w:r>
          </w:p>
        </w:tc>
        <w:tc>
          <w:tcPr>
            <w:tcW w:w="1101" w:type="pct"/>
            <w:gridSpan w:val="3"/>
            <w:tcBorders>
              <w:top w:val="nil"/>
              <w:left w:val="nil"/>
              <w:bottom w:val="nil"/>
              <w:right w:val="nil"/>
            </w:tcBorders>
            <w:noWrap/>
            <w:vAlign w:val="center"/>
            <w:hideMark/>
          </w:tcPr>
          <w:p w14:paraId="54ED7D98"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144.663</w:t>
            </w:r>
          </w:p>
        </w:tc>
        <w:tc>
          <w:tcPr>
            <w:tcW w:w="898" w:type="pct"/>
            <w:gridSpan w:val="2"/>
            <w:tcBorders>
              <w:top w:val="nil"/>
              <w:left w:val="nil"/>
              <w:bottom w:val="nil"/>
              <w:right w:val="nil"/>
            </w:tcBorders>
            <w:noWrap/>
            <w:vAlign w:val="center"/>
            <w:hideMark/>
          </w:tcPr>
          <w:p w14:paraId="35F8197E"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228.828 </w:t>
            </w:r>
          </w:p>
        </w:tc>
      </w:tr>
      <w:tr w:rsidR="00D87550" w:rsidRPr="00D87550" w14:paraId="31B5D388" w14:textId="77777777" w:rsidTr="00D87550">
        <w:trPr>
          <w:trHeight w:val="323"/>
        </w:trPr>
        <w:tc>
          <w:tcPr>
            <w:tcW w:w="2684" w:type="pct"/>
            <w:tcBorders>
              <w:top w:val="nil"/>
              <w:left w:val="nil"/>
              <w:bottom w:val="nil"/>
              <w:right w:val="nil"/>
            </w:tcBorders>
            <w:noWrap/>
            <w:vAlign w:val="center"/>
            <w:hideMark/>
          </w:tcPr>
          <w:p w14:paraId="5DDBBB20"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p>
        </w:tc>
        <w:tc>
          <w:tcPr>
            <w:tcW w:w="317" w:type="pct"/>
            <w:tcBorders>
              <w:top w:val="nil"/>
              <w:left w:val="nil"/>
              <w:bottom w:val="nil"/>
              <w:right w:val="nil"/>
            </w:tcBorders>
            <w:noWrap/>
            <w:vAlign w:val="center"/>
            <w:hideMark/>
          </w:tcPr>
          <w:p w14:paraId="51A6AFAA"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1101" w:type="pct"/>
            <w:gridSpan w:val="3"/>
            <w:tcBorders>
              <w:top w:val="nil"/>
              <w:left w:val="nil"/>
              <w:bottom w:val="nil"/>
              <w:right w:val="nil"/>
            </w:tcBorders>
            <w:noWrap/>
            <w:vAlign w:val="center"/>
            <w:hideMark/>
          </w:tcPr>
          <w:p w14:paraId="02ADDBF6"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898" w:type="pct"/>
            <w:gridSpan w:val="2"/>
            <w:tcBorders>
              <w:top w:val="nil"/>
              <w:left w:val="nil"/>
              <w:bottom w:val="nil"/>
              <w:right w:val="nil"/>
            </w:tcBorders>
            <w:noWrap/>
            <w:vAlign w:val="center"/>
            <w:hideMark/>
          </w:tcPr>
          <w:p w14:paraId="62DC1F9E"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5A0DAA28" w14:textId="77777777" w:rsidTr="00D87550">
        <w:trPr>
          <w:trHeight w:val="323"/>
        </w:trPr>
        <w:tc>
          <w:tcPr>
            <w:tcW w:w="2684" w:type="pct"/>
            <w:tcBorders>
              <w:top w:val="single" w:sz="4" w:space="0" w:color="auto"/>
              <w:left w:val="nil"/>
              <w:bottom w:val="single" w:sz="4" w:space="0" w:color="auto"/>
              <w:right w:val="nil"/>
            </w:tcBorders>
            <w:noWrap/>
            <w:vAlign w:val="center"/>
            <w:hideMark/>
          </w:tcPr>
          <w:p w14:paraId="2780DECD"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Total do passivo circulante</w:t>
            </w:r>
          </w:p>
        </w:tc>
        <w:tc>
          <w:tcPr>
            <w:tcW w:w="317" w:type="pct"/>
            <w:tcBorders>
              <w:top w:val="single" w:sz="4" w:space="0" w:color="auto"/>
              <w:left w:val="nil"/>
              <w:bottom w:val="single" w:sz="4" w:space="0" w:color="auto"/>
              <w:right w:val="nil"/>
            </w:tcBorders>
            <w:noWrap/>
            <w:vAlign w:val="center"/>
            <w:hideMark/>
          </w:tcPr>
          <w:p w14:paraId="15F02283"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w:t>
            </w:r>
          </w:p>
        </w:tc>
        <w:tc>
          <w:tcPr>
            <w:tcW w:w="1101" w:type="pct"/>
            <w:gridSpan w:val="3"/>
            <w:tcBorders>
              <w:top w:val="single" w:sz="4" w:space="0" w:color="auto"/>
              <w:left w:val="nil"/>
              <w:bottom w:val="single" w:sz="4" w:space="0" w:color="auto"/>
              <w:right w:val="nil"/>
            </w:tcBorders>
            <w:noWrap/>
            <w:vAlign w:val="center"/>
            <w:hideMark/>
          </w:tcPr>
          <w:p w14:paraId="3868AC5E"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24.233.178</w:t>
            </w:r>
          </w:p>
        </w:tc>
        <w:tc>
          <w:tcPr>
            <w:tcW w:w="898" w:type="pct"/>
            <w:gridSpan w:val="2"/>
            <w:tcBorders>
              <w:top w:val="single" w:sz="4" w:space="0" w:color="auto"/>
              <w:left w:val="nil"/>
              <w:bottom w:val="single" w:sz="4" w:space="0" w:color="auto"/>
              <w:right w:val="nil"/>
            </w:tcBorders>
            <w:noWrap/>
            <w:vAlign w:val="center"/>
            <w:hideMark/>
          </w:tcPr>
          <w:p w14:paraId="22A97581"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xml:space="preserve">14.456.804 </w:t>
            </w:r>
          </w:p>
        </w:tc>
      </w:tr>
      <w:tr w:rsidR="00D87550" w:rsidRPr="00D87550" w14:paraId="7BD87791" w14:textId="77777777" w:rsidTr="00D87550">
        <w:trPr>
          <w:trHeight w:val="323"/>
        </w:trPr>
        <w:tc>
          <w:tcPr>
            <w:tcW w:w="2684" w:type="pct"/>
            <w:tcBorders>
              <w:top w:val="nil"/>
              <w:left w:val="nil"/>
              <w:bottom w:val="nil"/>
              <w:right w:val="nil"/>
            </w:tcBorders>
            <w:noWrap/>
            <w:vAlign w:val="center"/>
            <w:hideMark/>
          </w:tcPr>
          <w:p w14:paraId="5945A7A2"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p>
        </w:tc>
        <w:tc>
          <w:tcPr>
            <w:tcW w:w="317" w:type="pct"/>
            <w:tcBorders>
              <w:top w:val="nil"/>
              <w:left w:val="nil"/>
              <w:bottom w:val="nil"/>
              <w:right w:val="nil"/>
            </w:tcBorders>
            <w:noWrap/>
            <w:vAlign w:val="center"/>
            <w:hideMark/>
          </w:tcPr>
          <w:p w14:paraId="603CC94B"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1101" w:type="pct"/>
            <w:gridSpan w:val="3"/>
            <w:tcBorders>
              <w:top w:val="nil"/>
              <w:left w:val="nil"/>
              <w:bottom w:val="nil"/>
              <w:right w:val="nil"/>
            </w:tcBorders>
            <w:noWrap/>
            <w:vAlign w:val="center"/>
            <w:hideMark/>
          </w:tcPr>
          <w:p w14:paraId="17031B1D" w14:textId="77777777" w:rsidR="00D87550" w:rsidRPr="00D87550" w:rsidRDefault="00D87550" w:rsidP="00D87550">
            <w:pPr>
              <w:spacing w:after="0" w:line="240" w:lineRule="auto"/>
              <w:jc w:val="right"/>
              <w:rPr>
                <w:rFonts w:ascii="Times New Roman" w:eastAsia="Times New Roman" w:hAnsi="Times New Roman" w:cs="Times New Roman"/>
                <w:sz w:val="20"/>
                <w:szCs w:val="20"/>
                <w:lang w:eastAsia="pt-BR"/>
              </w:rPr>
            </w:pPr>
          </w:p>
        </w:tc>
        <w:tc>
          <w:tcPr>
            <w:tcW w:w="898" w:type="pct"/>
            <w:gridSpan w:val="2"/>
            <w:tcBorders>
              <w:top w:val="nil"/>
              <w:left w:val="nil"/>
              <w:bottom w:val="nil"/>
              <w:right w:val="nil"/>
            </w:tcBorders>
            <w:noWrap/>
            <w:vAlign w:val="center"/>
            <w:hideMark/>
          </w:tcPr>
          <w:p w14:paraId="6D33EB58" w14:textId="77777777" w:rsidR="00D87550" w:rsidRPr="00D87550" w:rsidRDefault="00D87550" w:rsidP="00D87550">
            <w:pPr>
              <w:spacing w:after="0" w:line="240" w:lineRule="auto"/>
              <w:jc w:val="right"/>
              <w:rPr>
                <w:rFonts w:ascii="Times New Roman" w:eastAsia="Times New Roman" w:hAnsi="Times New Roman" w:cs="Times New Roman"/>
                <w:sz w:val="20"/>
                <w:szCs w:val="20"/>
                <w:lang w:eastAsia="pt-BR"/>
              </w:rPr>
            </w:pPr>
          </w:p>
        </w:tc>
      </w:tr>
      <w:tr w:rsidR="00D87550" w:rsidRPr="00D87550" w14:paraId="77628D3A" w14:textId="77777777" w:rsidTr="00D87550">
        <w:trPr>
          <w:trHeight w:val="323"/>
        </w:trPr>
        <w:tc>
          <w:tcPr>
            <w:tcW w:w="2684" w:type="pct"/>
            <w:tcBorders>
              <w:top w:val="nil"/>
              <w:left w:val="nil"/>
              <w:bottom w:val="nil"/>
              <w:right w:val="nil"/>
            </w:tcBorders>
            <w:noWrap/>
            <w:vAlign w:val="center"/>
            <w:hideMark/>
          </w:tcPr>
          <w:p w14:paraId="3A6FE565"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NÃO CIRCULANTE</w:t>
            </w:r>
          </w:p>
        </w:tc>
        <w:tc>
          <w:tcPr>
            <w:tcW w:w="317" w:type="pct"/>
            <w:tcBorders>
              <w:top w:val="nil"/>
              <w:left w:val="nil"/>
              <w:bottom w:val="nil"/>
              <w:right w:val="nil"/>
            </w:tcBorders>
            <w:noWrap/>
            <w:vAlign w:val="center"/>
            <w:hideMark/>
          </w:tcPr>
          <w:p w14:paraId="71C026EF"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p>
        </w:tc>
        <w:tc>
          <w:tcPr>
            <w:tcW w:w="1101" w:type="pct"/>
            <w:gridSpan w:val="3"/>
            <w:tcBorders>
              <w:top w:val="nil"/>
              <w:left w:val="nil"/>
              <w:bottom w:val="nil"/>
              <w:right w:val="nil"/>
            </w:tcBorders>
            <w:noWrap/>
            <w:vAlign w:val="center"/>
            <w:hideMark/>
          </w:tcPr>
          <w:p w14:paraId="73A29775" w14:textId="77777777" w:rsidR="00D87550" w:rsidRPr="00D87550" w:rsidRDefault="00D87550" w:rsidP="00D87550">
            <w:pPr>
              <w:spacing w:after="0" w:line="240" w:lineRule="auto"/>
              <w:jc w:val="right"/>
              <w:rPr>
                <w:rFonts w:ascii="Times New Roman" w:eastAsia="Times New Roman" w:hAnsi="Times New Roman" w:cs="Times New Roman"/>
                <w:sz w:val="20"/>
                <w:szCs w:val="20"/>
                <w:lang w:eastAsia="pt-BR"/>
              </w:rPr>
            </w:pPr>
          </w:p>
        </w:tc>
        <w:tc>
          <w:tcPr>
            <w:tcW w:w="898" w:type="pct"/>
            <w:gridSpan w:val="2"/>
            <w:tcBorders>
              <w:top w:val="nil"/>
              <w:left w:val="nil"/>
              <w:bottom w:val="nil"/>
              <w:right w:val="nil"/>
            </w:tcBorders>
            <w:noWrap/>
            <w:vAlign w:val="center"/>
            <w:hideMark/>
          </w:tcPr>
          <w:p w14:paraId="3F994E6D" w14:textId="77777777" w:rsidR="00D87550" w:rsidRPr="00D87550" w:rsidRDefault="00D87550" w:rsidP="00D87550">
            <w:pPr>
              <w:spacing w:after="0" w:line="240" w:lineRule="auto"/>
              <w:jc w:val="right"/>
              <w:rPr>
                <w:rFonts w:ascii="Times New Roman" w:eastAsia="Times New Roman" w:hAnsi="Times New Roman" w:cs="Times New Roman"/>
                <w:sz w:val="20"/>
                <w:szCs w:val="20"/>
                <w:lang w:eastAsia="pt-BR"/>
              </w:rPr>
            </w:pPr>
          </w:p>
        </w:tc>
      </w:tr>
      <w:tr w:rsidR="00D87550" w:rsidRPr="00D87550" w14:paraId="4FD38C5E" w14:textId="77777777" w:rsidTr="00D87550">
        <w:trPr>
          <w:trHeight w:val="323"/>
        </w:trPr>
        <w:tc>
          <w:tcPr>
            <w:tcW w:w="2684" w:type="pct"/>
            <w:tcBorders>
              <w:top w:val="nil"/>
              <w:left w:val="nil"/>
              <w:bottom w:val="nil"/>
              <w:right w:val="nil"/>
            </w:tcBorders>
            <w:noWrap/>
            <w:vAlign w:val="center"/>
            <w:hideMark/>
          </w:tcPr>
          <w:p w14:paraId="1AD0DDE9"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Depósitos judiciais</w:t>
            </w:r>
          </w:p>
        </w:tc>
        <w:tc>
          <w:tcPr>
            <w:tcW w:w="317" w:type="pct"/>
            <w:tcBorders>
              <w:top w:val="nil"/>
              <w:left w:val="nil"/>
              <w:bottom w:val="nil"/>
              <w:right w:val="nil"/>
            </w:tcBorders>
            <w:noWrap/>
            <w:vAlign w:val="center"/>
            <w:hideMark/>
          </w:tcPr>
          <w:p w14:paraId="59DE0697"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1101" w:type="pct"/>
            <w:gridSpan w:val="3"/>
            <w:tcBorders>
              <w:top w:val="nil"/>
              <w:left w:val="nil"/>
              <w:bottom w:val="nil"/>
              <w:right w:val="nil"/>
            </w:tcBorders>
            <w:noWrap/>
            <w:vAlign w:val="center"/>
            <w:hideMark/>
          </w:tcPr>
          <w:p w14:paraId="35AFAB9E"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387.529</w:t>
            </w:r>
          </w:p>
        </w:tc>
        <w:tc>
          <w:tcPr>
            <w:tcW w:w="898" w:type="pct"/>
            <w:gridSpan w:val="2"/>
            <w:tcBorders>
              <w:top w:val="nil"/>
              <w:left w:val="nil"/>
              <w:bottom w:val="nil"/>
              <w:right w:val="nil"/>
            </w:tcBorders>
            <w:noWrap/>
            <w:vAlign w:val="center"/>
            <w:hideMark/>
          </w:tcPr>
          <w:p w14:paraId="2F57A14B"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387.529 </w:t>
            </w:r>
          </w:p>
        </w:tc>
      </w:tr>
      <w:tr w:rsidR="00D87550" w:rsidRPr="00D87550" w14:paraId="443DC261" w14:textId="77777777" w:rsidTr="00D87550">
        <w:trPr>
          <w:trHeight w:val="323"/>
        </w:trPr>
        <w:tc>
          <w:tcPr>
            <w:tcW w:w="2684" w:type="pct"/>
            <w:tcBorders>
              <w:top w:val="nil"/>
              <w:left w:val="nil"/>
              <w:bottom w:val="nil"/>
              <w:right w:val="nil"/>
            </w:tcBorders>
            <w:noWrap/>
            <w:vAlign w:val="center"/>
            <w:hideMark/>
          </w:tcPr>
          <w:p w14:paraId="01BCCEFD"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Provisões de natureza cível e trabalhista</w:t>
            </w:r>
          </w:p>
        </w:tc>
        <w:tc>
          <w:tcPr>
            <w:tcW w:w="317" w:type="pct"/>
            <w:tcBorders>
              <w:top w:val="nil"/>
              <w:left w:val="nil"/>
              <w:bottom w:val="nil"/>
              <w:right w:val="nil"/>
            </w:tcBorders>
            <w:noWrap/>
            <w:vAlign w:val="center"/>
            <w:hideMark/>
          </w:tcPr>
          <w:p w14:paraId="435D7569"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1101" w:type="pct"/>
            <w:gridSpan w:val="3"/>
            <w:tcBorders>
              <w:top w:val="nil"/>
              <w:left w:val="nil"/>
              <w:bottom w:val="nil"/>
              <w:right w:val="nil"/>
            </w:tcBorders>
            <w:noWrap/>
            <w:vAlign w:val="center"/>
            <w:hideMark/>
          </w:tcPr>
          <w:p w14:paraId="736E0B25"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2.003.470</w:t>
            </w:r>
          </w:p>
        </w:tc>
        <w:tc>
          <w:tcPr>
            <w:tcW w:w="898" w:type="pct"/>
            <w:gridSpan w:val="2"/>
            <w:tcBorders>
              <w:top w:val="nil"/>
              <w:left w:val="nil"/>
              <w:bottom w:val="nil"/>
              <w:right w:val="nil"/>
            </w:tcBorders>
            <w:noWrap/>
            <w:vAlign w:val="center"/>
            <w:hideMark/>
          </w:tcPr>
          <w:p w14:paraId="5FAE7EA7"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2.003.470 </w:t>
            </w:r>
          </w:p>
        </w:tc>
      </w:tr>
      <w:tr w:rsidR="00D87550" w:rsidRPr="00D87550" w14:paraId="33ABCCA1" w14:textId="77777777" w:rsidTr="00D87550">
        <w:trPr>
          <w:trHeight w:val="323"/>
        </w:trPr>
        <w:tc>
          <w:tcPr>
            <w:tcW w:w="2684" w:type="pct"/>
            <w:tcBorders>
              <w:top w:val="nil"/>
              <w:left w:val="nil"/>
              <w:bottom w:val="nil"/>
              <w:right w:val="nil"/>
            </w:tcBorders>
            <w:noWrap/>
            <w:vAlign w:val="center"/>
            <w:hideMark/>
          </w:tcPr>
          <w:p w14:paraId="1056EACB"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Contribuições ao FCVS e SFH</w:t>
            </w:r>
          </w:p>
        </w:tc>
        <w:tc>
          <w:tcPr>
            <w:tcW w:w="317" w:type="pct"/>
            <w:tcBorders>
              <w:top w:val="nil"/>
              <w:left w:val="nil"/>
              <w:bottom w:val="nil"/>
              <w:right w:val="nil"/>
            </w:tcBorders>
            <w:noWrap/>
            <w:vAlign w:val="center"/>
            <w:hideMark/>
          </w:tcPr>
          <w:p w14:paraId="717A2245"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1101" w:type="pct"/>
            <w:gridSpan w:val="3"/>
            <w:tcBorders>
              <w:top w:val="nil"/>
              <w:left w:val="nil"/>
              <w:bottom w:val="nil"/>
              <w:right w:val="nil"/>
            </w:tcBorders>
            <w:noWrap/>
            <w:vAlign w:val="center"/>
            <w:hideMark/>
          </w:tcPr>
          <w:p w14:paraId="75819791"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3.762.456</w:t>
            </w:r>
          </w:p>
        </w:tc>
        <w:tc>
          <w:tcPr>
            <w:tcW w:w="898" w:type="pct"/>
            <w:gridSpan w:val="2"/>
            <w:tcBorders>
              <w:top w:val="nil"/>
              <w:left w:val="nil"/>
              <w:bottom w:val="nil"/>
              <w:right w:val="nil"/>
            </w:tcBorders>
            <w:noWrap/>
            <w:vAlign w:val="center"/>
            <w:hideMark/>
          </w:tcPr>
          <w:p w14:paraId="07A0821A"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3.762.456 </w:t>
            </w:r>
          </w:p>
        </w:tc>
      </w:tr>
      <w:tr w:rsidR="00D87550" w:rsidRPr="00D87550" w14:paraId="692D9559" w14:textId="77777777" w:rsidTr="00D87550">
        <w:trPr>
          <w:trHeight w:val="323"/>
        </w:trPr>
        <w:tc>
          <w:tcPr>
            <w:tcW w:w="2684" w:type="pct"/>
            <w:tcBorders>
              <w:top w:val="nil"/>
              <w:left w:val="nil"/>
              <w:bottom w:val="nil"/>
              <w:right w:val="nil"/>
            </w:tcBorders>
            <w:noWrap/>
            <w:vAlign w:val="center"/>
            <w:hideMark/>
          </w:tcPr>
          <w:p w14:paraId="60D60445"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Obrigações c/fornecedores e credores</w:t>
            </w:r>
          </w:p>
        </w:tc>
        <w:tc>
          <w:tcPr>
            <w:tcW w:w="317" w:type="pct"/>
            <w:tcBorders>
              <w:top w:val="nil"/>
              <w:left w:val="nil"/>
              <w:bottom w:val="nil"/>
              <w:right w:val="nil"/>
            </w:tcBorders>
            <w:noWrap/>
            <w:vAlign w:val="center"/>
            <w:hideMark/>
          </w:tcPr>
          <w:p w14:paraId="0D6EA55C"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1101" w:type="pct"/>
            <w:gridSpan w:val="3"/>
            <w:tcBorders>
              <w:top w:val="nil"/>
              <w:left w:val="nil"/>
              <w:bottom w:val="nil"/>
              <w:right w:val="nil"/>
            </w:tcBorders>
            <w:noWrap/>
            <w:vAlign w:val="center"/>
            <w:hideMark/>
          </w:tcPr>
          <w:p w14:paraId="68CA692D"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10.886.097</w:t>
            </w:r>
          </w:p>
        </w:tc>
        <w:tc>
          <w:tcPr>
            <w:tcW w:w="898" w:type="pct"/>
            <w:gridSpan w:val="2"/>
            <w:tcBorders>
              <w:top w:val="nil"/>
              <w:left w:val="nil"/>
              <w:bottom w:val="nil"/>
              <w:right w:val="nil"/>
            </w:tcBorders>
            <w:noWrap/>
            <w:vAlign w:val="center"/>
            <w:hideMark/>
          </w:tcPr>
          <w:p w14:paraId="3831CA60"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10.886.097 </w:t>
            </w:r>
          </w:p>
        </w:tc>
      </w:tr>
      <w:tr w:rsidR="00D87550" w:rsidRPr="00D87550" w14:paraId="3A999D1E" w14:textId="77777777" w:rsidTr="00D87550">
        <w:trPr>
          <w:trHeight w:val="323"/>
        </w:trPr>
        <w:tc>
          <w:tcPr>
            <w:tcW w:w="2684" w:type="pct"/>
            <w:tcBorders>
              <w:top w:val="nil"/>
              <w:left w:val="nil"/>
              <w:bottom w:val="nil"/>
              <w:right w:val="nil"/>
            </w:tcBorders>
            <w:noWrap/>
            <w:vAlign w:val="center"/>
            <w:hideMark/>
          </w:tcPr>
          <w:p w14:paraId="14C75452"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Obrigações trabalhistas provisionadas</w:t>
            </w:r>
          </w:p>
        </w:tc>
        <w:tc>
          <w:tcPr>
            <w:tcW w:w="317" w:type="pct"/>
            <w:tcBorders>
              <w:top w:val="nil"/>
              <w:left w:val="nil"/>
              <w:bottom w:val="nil"/>
              <w:right w:val="nil"/>
            </w:tcBorders>
            <w:noWrap/>
            <w:vAlign w:val="center"/>
            <w:hideMark/>
          </w:tcPr>
          <w:p w14:paraId="3DFA913A"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28 </w:t>
            </w:r>
          </w:p>
        </w:tc>
        <w:tc>
          <w:tcPr>
            <w:tcW w:w="1101" w:type="pct"/>
            <w:gridSpan w:val="3"/>
            <w:tcBorders>
              <w:top w:val="nil"/>
              <w:left w:val="nil"/>
              <w:bottom w:val="nil"/>
              <w:right w:val="nil"/>
            </w:tcBorders>
            <w:noWrap/>
            <w:vAlign w:val="center"/>
            <w:hideMark/>
          </w:tcPr>
          <w:p w14:paraId="50A223D4"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5.745.138</w:t>
            </w:r>
          </w:p>
        </w:tc>
        <w:tc>
          <w:tcPr>
            <w:tcW w:w="898" w:type="pct"/>
            <w:gridSpan w:val="2"/>
            <w:tcBorders>
              <w:top w:val="nil"/>
              <w:left w:val="nil"/>
              <w:bottom w:val="nil"/>
              <w:right w:val="nil"/>
            </w:tcBorders>
            <w:noWrap/>
            <w:vAlign w:val="center"/>
            <w:hideMark/>
          </w:tcPr>
          <w:p w14:paraId="774559F9"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7.210.450 </w:t>
            </w:r>
          </w:p>
        </w:tc>
      </w:tr>
      <w:tr w:rsidR="00D87550" w:rsidRPr="00D87550" w14:paraId="3E377AA6" w14:textId="77777777" w:rsidTr="00D87550">
        <w:trPr>
          <w:trHeight w:val="323"/>
        </w:trPr>
        <w:tc>
          <w:tcPr>
            <w:tcW w:w="2684" w:type="pct"/>
            <w:tcBorders>
              <w:top w:val="nil"/>
              <w:left w:val="nil"/>
              <w:bottom w:val="nil"/>
              <w:right w:val="nil"/>
            </w:tcBorders>
            <w:noWrap/>
            <w:vAlign w:val="center"/>
            <w:hideMark/>
          </w:tcPr>
          <w:p w14:paraId="322D64E3"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Outros valores exigíveis a longo prazo</w:t>
            </w:r>
          </w:p>
        </w:tc>
        <w:tc>
          <w:tcPr>
            <w:tcW w:w="317" w:type="pct"/>
            <w:tcBorders>
              <w:top w:val="nil"/>
              <w:left w:val="nil"/>
              <w:bottom w:val="nil"/>
              <w:right w:val="nil"/>
            </w:tcBorders>
            <w:noWrap/>
            <w:vAlign w:val="center"/>
            <w:hideMark/>
          </w:tcPr>
          <w:p w14:paraId="12841BE7"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1101" w:type="pct"/>
            <w:gridSpan w:val="3"/>
            <w:tcBorders>
              <w:top w:val="nil"/>
              <w:left w:val="nil"/>
              <w:bottom w:val="nil"/>
              <w:right w:val="nil"/>
            </w:tcBorders>
            <w:noWrap/>
            <w:vAlign w:val="center"/>
            <w:hideMark/>
          </w:tcPr>
          <w:p w14:paraId="712F32AC"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209.885</w:t>
            </w:r>
          </w:p>
        </w:tc>
        <w:tc>
          <w:tcPr>
            <w:tcW w:w="898" w:type="pct"/>
            <w:gridSpan w:val="2"/>
            <w:tcBorders>
              <w:top w:val="nil"/>
              <w:left w:val="nil"/>
              <w:bottom w:val="nil"/>
              <w:right w:val="nil"/>
            </w:tcBorders>
            <w:noWrap/>
            <w:vAlign w:val="center"/>
            <w:hideMark/>
          </w:tcPr>
          <w:p w14:paraId="3AB7F4CF"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209.885 </w:t>
            </w:r>
          </w:p>
        </w:tc>
      </w:tr>
      <w:tr w:rsidR="00D87550" w:rsidRPr="00D87550" w14:paraId="1750C1A2" w14:textId="77777777" w:rsidTr="00D87550">
        <w:trPr>
          <w:trHeight w:val="323"/>
        </w:trPr>
        <w:tc>
          <w:tcPr>
            <w:tcW w:w="2684" w:type="pct"/>
            <w:tcBorders>
              <w:top w:val="nil"/>
              <w:left w:val="nil"/>
              <w:bottom w:val="nil"/>
              <w:right w:val="nil"/>
            </w:tcBorders>
            <w:noWrap/>
            <w:vAlign w:val="center"/>
            <w:hideMark/>
          </w:tcPr>
          <w:p w14:paraId="7168F6C9"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p>
        </w:tc>
        <w:tc>
          <w:tcPr>
            <w:tcW w:w="317" w:type="pct"/>
            <w:tcBorders>
              <w:top w:val="nil"/>
              <w:left w:val="nil"/>
              <w:bottom w:val="nil"/>
              <w:right w:val="nil"/>
            </w:tcBorders>
            <w:noWrap/>
            <w:vAlign w:val="center"/>
            <w:hideMark/>
          </w:tcPr>
          <w:p w14:paraId="62D07DF8"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1101" w:type="pct"/>
            <w:gridSpan w:val="3"/>
            <w:tcBorders>
              <w:top w:val="nil"/>
              <w:left w:val="nil"/>
              <w:bottom w:val="nil"/>
              <w:right w:val="nil"/>
            </w:tcBorders>
            <w:noWrap/>
            <w:vAlign w:val="center"/>
            <w:hideMark/>
          </w:tcPr>
          <w:p w14:paraId="737D8428" w14:textId="77777777" w:rsidR="00D87550" w:rsidRPr="00D87550" w:rsidRDefault="00D87550" w:rsidP="00D87550">
            <w:pPr>
              <w:spacing w:after="0" w:line="240" w:lineRule="auto"/>
              <w:jc w:val="right"/>
              <w:rPr>
                <w:rFonts w:ascii="Times New Roman" w:eastAsia="Times New Roman" w:hAnsi="Times New Roman" w:cs="Times New Roman"/>
                <w:sz w:val="20"/>
                <w:szCs w:val="20"/>
                <w:lang w:eastAsia="pt-BR"/>
              </w:rPr>
            </w:pPr>
          </w:p>
        </w:tc>
        <w:tc>
          <w:tcPr>
            <w:tcW w:w="898" w:type="pct"/>
            <w:gridSpan w:val="2"/>
            <w:tcBorders>
              <w:top w:val="nil"/>
              <w:left w:val="nil"/>
              <w:bottom w:val="nil"/>
              <w:right w:val="nil"/>
            </w:tcBorders>
            <w:noWrap/>
            <w:vAlign w:val="center"/>
            <w:hideMark/>
          </w:tcPr>
          <w:p w14:paraId="3143F668" w14:textId="77777777" w:rsidR="00D87550" w:rsidRPr="00D87550" w:rsidRDefault="00D87550" w:rsidP="00D87550">
            <w:pPr>
              <w:spacing w:after="0" w:line="240" w:lineRule="auto"/>
              <w:jc w:val="right"/>
              <w:rPr>
                <w:rFonts w:ascii="Times New Roman" w:eastAsia="Times New Roman" w:hAnsi="Times New Roman" w:cs="Times New Roman"/>
                <w:sz w:val="20"/>
                <w:szCs w:val="20"/>
                <w:lang w:eastAsia="pt-BR"/>
              </w:rPr>
            </w:pPr>
          </w:p>
        </w:tc>
      </w:tr>
      <w:tr w:rsidR="00D87550" w:rsidRPr="00D87550" w14:paraId="2B53442D" w14:textId="77777777" w:rsidTr="00D87550">
        <w:trPr>
          <w:trHeight w:val="323"/>
        </w:trPr>
        <w:tc>
          <w:tcPr>
            <w:tcW w:w="2684" w:type="pct"/>
            <w:tcBorders>
              <w:top w:val="single" w:sz="4" w:space="0" w:color="auto"/>
              <w:left w:val="nil"/>
              <w:bottom w:val="single" w:sz="4" w:space="0" w:color="auto"/>
              <w:right w:val="nil"/>
            </w:tcBorders>
            <w:noWrap/>
            <w:vAlign w:val="center"/>
            <w:hideMark/>
          </w:tcPr>
          <w:p w14:paraId="10213321"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Total do passivo não circulante</w:t>
            </w:r>
          </w:p>
        </w:tc>
        <w:tc>
          <w:tcPr>
            <w:tcW w:w="317" w:type="pct"/>
            <w:tcBorders>
              <w:top w:val="single" w:sz="4" w:space="0" w:color="auto"/>
              <w:left w:val="nil"/>
              <w:bottom w:val="single" w:sz="4" w:space="0" w:color="auto"/>
              <w:right w:val="nil"/>
            </w:tcBorders>
            <w:noWrap/>
            <w:vAlign w:val="center"/>
            <w:hideMark/>
          </w:tcPr>
          <w:p w14:paraId="64B33335"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w:t>
            </w:r>
          </w:p>
        </w:tc>
        <w:tc>
          <w:tcPr>
            <w:tcW w:w="1101" w:type="pct"/>
            <w:gridSpan w:val="3"/>
            <w:tcBorders>
              <w:top w:val="single" w:sz="4" w:space="0" w:color="auto"/>
              <w:left w:val="nil"/>
              <w:bottom w:val="single" w:sz="4" w:space="0" w:color="auto"/>
              <w:right w:val="nil"/>
            </w:tcBorders>
            <w:noWrap/>
            <w:vAlign w:val="center"/>
            <w:hideMark/>
          </w:tcPr>
          <w:p w14:paraId="49C05743"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22.994.574</w:t>
            </w:r>
          </w:p>
        </w:tc>
        <w:tc>
          <w:tcPr>
            <w:tcW w:w="898" w:type="pct"/>
            <w:gridSpan w:val="2"/>
            <w:tcBorders>
              <w:top w:val="single" w:sz="4" w:space="0" w:color="auto"/>
              <w:left w:val="nil"/>
              <w:bottom w:val="single" w:sz="4" w:space="0" w:color="auto"/>
              <w:right w:val="nil"/>
            </w:tcBorders>
            <w:noWrap/>
            <w:vAlign w:val="center"/>
            <w:hideMark/>
          </w:tcPr>
          <w:p w14:paraId="72E08B77"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xml:space="preserve">24.459.886 </w:t>
            </w:r>
          </w:p>
        </w:tc>
      </w:tr>
      <w:tr w:rsidR="00D87550" w:rsidRPr="00D87550" w14:paraId="6C879BCE" w14:textId="77777777" w:rsidTr="00D87550">
        <w:trPr>
          <w:trHeight w:val="323"/>
        </w:trPr>
        <w:tc>
          <w:tcPr>
            <w:tcW w:w="2684" w:type="pct"/>
            <w:tcBorders>
              <w:top w:val="nil"/>
              <w:left w:val="nil"/>
              <w:bottom w:val="nil"/>
              <w:right w:val="nil"/>
            </w:tcBorders>
            <w:noWrap/>
            <w:vAlign w:val="center"/>
            <w:hideMark/>
          </w:tcPr>
          <w:p w14:paraId="346B3436"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p>
        </w:tc>
        <w:tc>
          <w:tcPr>
            <w:tcW w:w="317" w:type="pct"/>
            <w:tcBorders>
              <w:top w:val="nil"/>
              <w:left w:val="nil"/>
              <w:bottom w:val="nil"/>
              <w:right w:val="nil"/>
            </w:tcBorders>
            <w:noWrap/>
            <w:vAlign w:val="center"/>
            <w:hideMark/>
          </w:tcPr>
          <w:p w14:paraId="0FBEC87F"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1101" w:type="pct"/>
            <w:gridSpan w:val="3"/>
            <w:tcBorders>
              <w:top w:val="nil"/>
              <w:left w:val="nil"/>
              <w:bottom w:val="nil"/>
              <w:right w:val="nil"/>
            </w:tcBorders>
            <w:noWrap/>
            <w:vAlign w:val="center"/>
            <w:hideMark/>
          </w:tcPr>
          <w:p w14:paraId="251E718D" w14:textId="77777777" w:rsidR="00D87550" w:rsidRPr="00D87550" w:rsidRDefault="00D87550" w:rsidP="00D87550">
            <w:pPr>
              <w:spacing w:after="0" w:line="240" w:lineRule="auto"/>
              <w:jc w:val="right"/>
              <w:rPr>
                <w:rFonts w:ascii="Times New Roman" w:eastAsia="Times New Roman" w:hAnsi="Times New Roman" w:cs="Times New Roman"/>
                <w:sz w:val="20"/>
                <w:szCs w:val="20"/>
                <w:lang w:eastAsia="pt-BR"/>
              </w:rPr>
            </w:pPr>
          </w:p>
        </w:tc>
        <w:tc>
          <w:tcPr>
            <w:tcW w:w="898" w:type="pct"/>
            <w:gridSpan w:val="2"/>
            <w:tcBorders>
              <w:top w:val="nil"/>
              <w:left w:val="nil"/>
              <w:bottom w:val="nil"/>
              <w:right w:val="nil"/>
            </w:tcBorders>
            <w:noWrap/>
            <w:vAlign w:val="center"/>
            <w:hideMark/>
          </w:tcPr>
          <w:p w14:paraId="1BF6F7A8" w14:textId="77777777" w:rsidR="00D87550" w:rsidRPr="00D87550" w:rsidRDefault="00D87550" w:rsidP="00D87550">
            <w:pPr>
              <w:spacing w:after="0" w:line="240" w:lineRule="auto"/>
              <w:jc w:val="right"/>
              <w:rPr>
                <w:rFonts w:ascii="Times New Roman" w:eastAsia="Times New Roman" w:hAnsi="Times New Roman" w:cs="Times New Roman"/>
                <w:sz w:val="20"/>
                <w:szCs w:val="20"/>
                <w:lang w:eastAsia="pt-BR"/>
              </w:rPr>
            </w:pPr>
          </w:p>
        </w:tc>
      </w:tr>
      <w:tr w:rsidR="00D87550" w:rsidRPr="00D87550" w14:paraId="49ADD021" w14:textId="77777777" w:rsidTr="00D87550">
        <w:trPr>
          <w:trHeight w:val="323"/>
        </w:trPr>
        <w:tc>
          <w:tcPr>
            <w:tcW w:w="2684" w:type="pct"/>
            <w:tcBorders>
              <w:top w:val="nil"/>
              <w:left w:val="nil"/>
              <w:bottom w:val="nil"/>
              <w:right w:val="nil"/>
            </w:tcBorders>
            <w:noWrap/>
            <w:vAlign w:val="center"/>
            <w:hideMark/>
          </w:tcPr>
          <w:p w14:paraId="29711B62"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PATRIMÔNIO LÍQUIDO</w:t>
            </w:r>
          </w:p>
        </w:tc>
        <w:tc>
          <w:tcPr>
            <w:tcW w:w="317" w:type="pct"/>
            <w:tcBorders>
              <w:top w:val="nil"/>
              <w:left w:val="nil"/>
              <w:bottom w:val="nil"/>
              <w:right w:val="nil"/>
            </w:tcBorders>
            <w:noWrap/>
            <w:vAlign w:val="center"/>
            <w:hideMark/>
          </w:tcPr>
          <w:p w14:paraId="733447A7"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29 </w:t>
            </w:r>
          </w:p>
        </w:tc>
        <w:tc>
          <w:tcPr>
            <w:tcW w:w="1101" w:type="pct"/>
            <w:gridSpan w:val="3"/>
            <w:tcBorders>
              <w:top w:val="nil"/>
              <w:left w:val="nil"/>
              <w:bottom w:val="nil"/>
              <w:right w:val="nil"/>
            </w:tcBorders>
            <w:noWrap/>
            <w:vAlign w:val="center"/>
            <w:hideMark/>
          </w:tcPr>
          <w:p w14:paraId="37ADD5B1"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p>
        </w:tc>
        <w:tc>
          <w:tcPr>
            <w:tcW w:w="898" w:type="pct"/>
            <w:gridSpan w:val="2"/>
            <w:tcBorders>
              <w:top w:val="nil"/>
              <w:left w:val="nil"/>
              <w:bottom w:val="nil"/>
              <w:right w:val="nil"/>
            </w:tcBorders>
            <w:noWrap/>
            <w:vAlign w:val="center"/>
            <w:hideMark/>
          </w:tcPr>
          <w:p w14:paraId="22EBC33D" w14:textId="77777777" w:rsidR="00D87550" w:rsidRPr="00D87550" w:rsidRDefault="00D87550" w:rsidP="00D87550">
            <w:pPr>
              <w:spacing w:after="0" w:line="240" w:lineRule="auto"/>
              <w:jc w:val="right"/>
              <w:rPr>
                <w:rFonts w:ascii="Times New Roman" w:eastAsia="Times New Roman" w:hAnsi="Times New Roman" w:cs="Times New Roman"/>
                <w:sz w:val="20"/>
                <w:szCs w:val="20"/>
                <w:lang w:eastAsia="pt-BR"/>
              </w:rPr>
            </w:pPr>
          </w:p>
        </w:tc>
      </w:tr>
      <w:tr w:rsidR="00D87550" w:rsidRPr="00D87550" w14:paraId="1FC208F5" w14:textId="77777777" w:rsidTr="00D87550">
        <w:trPr>
          <w:trHeight w:val="323"/>
        </w:trPr>
        <w:tc>
          <w:tcPr>
            <w:tcW w:w="2684" w:type="pct"/>
            <w:tcBorders>
              <w:top w:val="nil"/>
              <w:left w:val="nil"/>
              <w:bottom w:val="nil"/>
              <w:right w:val="nil"/>
            </w:tcBorders>
            <w:noWrap/>
            <w:vAlign w:val="center"/>
            <w:hideMark/>
          </w:tcPr>
          <w:p w14:paraId="2C165B14"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Capital social</w:t>
            </w:r>
          </w:p>
        </w:tc>
        <w:tc>
          <w:tcPr>
            <w:tcW w:w="317" w:type="pct"/>
            <w:tcBorders>
              <w:top w:val="nil"/>
              <w:left w:val="nil"/>
              <w:bottom w:val="nil"/>
              <w:right w:val="nil"/>
            </w:tcBorders>
            <w:noWrap/>
            <w:vAlign w:val="center"/>
            <w:hideMark/>
          </w:tcPr>
          <w:p w14:paraId="70B0E6FA"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29.1</w:t>
            </w:r>
          </w:p>
        </w:tc>
        <w:tc>
          <w:tcPr>
            <w:tcW w:w="1101" w:type="pct"/>
            <w:gridSpan w:val="3"/>
            <w:tcBorders>
              <w:top w:val="nil"/>
              <w:left w:val="nil"/>
              <w:bottom w:val="nil"/>
              <w:right w:val="nil"/>
            </w:tcBorders>
            <w:noWrap/>
            <w:vAlign w:val="center"/>
            <w:hideMark/>
          </w:tcPr>
          <w:p w14:paraId="4D9A076B"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489.168.429</w:t>
            </w:r>
          </w:p>
        </w:tc>
        <w:tc>
          <w:tcPr>
            <w:tcW w:w="898" w:type="pct"/>
            <w:gridSpan w:val="2"/>
            <w:tcBorders>
              <w:top w:val="nil"/>
              <w:left w:val="nil"/>
              <w:bottom w:val="nil"/>
              <w:right w:val="nil"/>
            </w:tcBorders>
            <w:noWrap/>
            <w:vAlign w:val="center"/>
            <w:hideMark/>
          </w:tcPr>
          <w:p w14:paraId="291B84CA"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431.935.068 </w:t>
            </w:r>
          </w:p>
        </w:tc>
      </w:tr>
      <w:tr w:rsidR="00D87550" w:rsidRPr="00D87550" w14:paraId="152CAE77" w14:textId="77777777" w:rsidTr="00D87550">
        <w:trPr>
          <w:trHeight w:val="323"/>
        </w:trPr>
        <w:tc>
          <w:tcPr>
            <w:tcW w:w="2684" w:type="pct"/>
            <w:tcBorders>
              <w:top w:val="nil"/>
              <w:left w:val="nil"/>
              <w:bottom w:val="nil"/>
              <w:right w:val="nil"/>
            </w:tcBorders>
            <w:noWrap/>
            <w:vAlign w:val="center"/>
            <w:hideMark/>
          </w:tcPr>
          <w:p w14:paraId="71DE7518"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Reserva de reavaliação</w:t>
            </w:r>
          </w:p>
        </w:tc>
        <w:tc>
          <w:tcPr>
            <w:tcW w:w="317" w:type="pct"/>
            <w:tcBorders>
              <w:top w:val="nil"/>
              <w:left w:val="nil"/>
              <w:bottom w:val="nil"/>
              <w:right w:val="nil"/>
            </w:tcBorders>
            <w:noWrap/>
            <w:vAlign w:val="center"/>
            <w:hideMark/>
          </w:tcPr>
          <w:p w14:paraId="7E3F0E9A"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1101" w:type="pct"/>
            <w:gridSpan w:val="3"/>
            <w:tcBorders>
              <w:top w:val="nil"/>
              <w:left w:val="nil"/>
              <w:bottom w:val="nil"/>
              <w:right w:val="nil"/>
            </w:tcBorders>
            <w:noWrap/>
            <w:vAlign w:val="center"/>
            <w:hideMark/>
          </w:tcPr>
          <w:p w14:paraId="542037EF"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4.117.904</w:t>
            </w:r>
          </w:p>
        </w:tc>
        <w:tc>
          <w:tcPr>
            <w:tcW w:w="898" w:type="pct"/>
            <w:gridSpan w:val="2"/>
            <w:tcBorders>
              <w:top w:val="nil"/>
              <w:left w:val="nil"/>
              <w:bottom w:val="nil"/>
              <w:right w:val="nil"/>
            </w:tcBorders>
            <w:noWrap/>
            <w:vAlign w:val="center"/>
            <w:hideMark/>
          </w:tcPr>
          <w:p w14:paraId="730EADC1"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4.117.904 </w:t>
            </w:r>
          </w:p>
        </w:tc>
      </w:tr>
      <w:tr w:rsidR="00D87550" w:rsidRPr="00D87550" w14:paraId="2EBFC8EB" w14:textId="77777777" w:rsidTr="00D87550">
        <w:trPr>
          <w:trHeight w:val="323"/>
        </w:trPr>
        <w:tc>
          <w:tcPr>
            <w:tcW w:w="2684" w:type="pct"/>
            <w:tcBorders>
              <w:top w:val="nil"/>
              <w:left w:val="nil"/>
              <w:bottom w:val="nil"/>
              <w:right w:val="nil"/>
            </w:tcBorders>
            <w:noWrap/>
            <w:vAlign w:val="center"/>
            <w:hideMark/>
          </w:tcPr>
          <w:p w14:paraId="6E2DCDB0"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Reserva de lucro</w:t>
            </w:r>
          </w:p>
        </w:tc>
        <w:tc>
          <w:tcPr>
            <w:tcW w:w="317" w:type="pct"/>
            <w:tcBorders>
              <w:top w:val="nil"/>
              <w:left w:val="nil"/>
              <w:bottom w:val="nil"/>
              <w:right w:val="nil"/>
            </w:tcBorders>
            <w:noWrap/>
            <w:vAlign w:val="center"/>
            <w:hideMark/>
          </w:tcPr>
          <w:p w14:paraId="6E38DD8F"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1101" w:type="pct"/>
            <w:gridSpan w:val="3"/>
            <w:tcBorders>
              <w:top w:val="nil"/>
              <w:left w:val="nil"/>
              <w:bottom w:val="nil"/>
              <w:right w:val="nil"/>
            </w:tcBorders>
            <w:noWrap/>
            <w:vAlign w:val="center"/>
            <w:hideMark/>
          </w:tcPr>
          <w:p w14:paraId="1698A446"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1.009</w:t>
            </w:r>
          </w:p>
        </w:tc>
        <w:tc>
          <w:tcPr>
            <w:tcW w:w="898" w:type="pct"/>
            <w:gridSpan w:val="2"/>
            <w:tcBorders>
              <w:top w:val="nil"/>
              <w:left w:val="nil"/>
              <w:bottom w:val="nil"/>
              <w:right w:val="nil"/>
            </w:tcBorders>
            <w:noWrap/>
            <w:vAlign w:val="center"/>
            <w:hideMark/>
          </w:tcPr>
          <w:p w14:paraId="78E2C580"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1.009 </w:t>
            </w:r>
          </w:p>
        </w:tc>
      </w:tr>
      <w:tr w:rsidR="00D87550" w:rsidRPr="00D87550" w14:paraId="4C6472E0" w14:textId="77777777" w:rsidTr="00D87550">
        <w:trPr>
          <w:trHeight w:val="323"/>
        </w:trPr>
        <w:tc>
          <w:tcPr>
            <w:tcW w:w="2684" w:type="pct"/>
            <w:tcBorders>
              <w:top w:val="nil"/>
              <w:left w:val="nil"/>
              <w:bottom w:val="nil"/>
              <w:right w:val="nil"/>
            </w:tcBorders>
            <w:noWrap/>
            <w:vAlign w:val="center"/>
            <w:hideMark/>
          </w:tcPr>
          <w:p w14:paraId="0E8BBE4F"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Lucros ou prejuízos acumulados</w:t>
            </w:r>
          </w:p>
        </w:tc>
        <w:tc>
          <w:tcPr>
            <w:tcW w:w="317" w:type="pct"/>
            <w:tcBorders>
              <w:top w:val="nil"/>
              <w:left w:val="nil"/>
              <w:bottom w:val="nil"/>
              <w:right w:val="nil"/>
            </w:tcBorders>
            <w:noWrap/>
            <w:vAlign w:val="center"/>
            <w:hideMark/>
          </w:tcPr>
          <w:p w14:paraId="2210957F"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29.2</w:t>
            </w:r>
          </w:p>
        </w:tc>
        <w:tc>
          <w:tcPr>
            <w:tcW w:w="1101" w:type="pct"/>
            <w:gridSpan w:val="3"/>
            <w:tcBorders>
              <w:top w:val="nil"/>
              <w:left w:val="nil"/>
              <w:bottom w:val="nil"/>
              <w:right w:val="nil"/>
            </w:tcBorders>
            <w:noWrap/>
            <w:vAlign w:val="center"/>
            <w:hideMark/>
          </w:tcPr>
          <w:p w14:paraId="7143F6D6"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FF0000"/>
                <w:sz w:val="20"/>
                <w:szCs w:val="20"/>
                <w:lang w:eastAsia="pt-BR"/>
              </w:rPr>
              <w:t>(493.819.473)</w:t>
            </w:r>
          </w:p>
        </w:tc>
        <w:tc>
          <w:tcPr>
            <w:tcW w:w="898" w:type="pct"/>
            <w:gridSpan w:val="2"/>
            <w:tcBorders>
              <w:top w:val="nil"/>
              <w:left w:val="nil"/>
              <w:bottom w:val="nil"/>
              <w:right w:val="nil"/>
            </w:tcBorders>
            <w:noWrap/>
            <w:vAlign w:val="center"/>
            <w:hideMark/>
          </w:tcPr>
          <w:p w14:paraId="57615771"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FF0000"/>
                <w:sz w:val="20"/>
                <w:szCs w:val="20"/>
                <w:lang w:eastAsia="pt-BR"/>
              </w:rPr>
              <w:t>(435.732.747)</w:t>
            </w:r>
          </w:p>
        </w:tc>
      </w:tr>
      <w:tr w:rsidR="00D87550" w:rsidRPr="00D87550" w14:paraId="2884245F" w14:textId="77777777" w:rsidTr="00D87550">
        <w:trPr>
          <w:trHeight w:val="323"/>
        </w:trPr>
        <w:tc>
          <w:tcPr>
            <w:tcW w:w="2684" w:type="pct"/>
            <w:tcBorders>
              <w:top w:val="nil"/>
              <w:left w:val="nil"/>
              <w:bottom w:val="nil"/>
              <w:right w:val="nil"/>
            </w:tcBorders>
            <w:noWrap/>
            <w:vAlign w:val="center"/>
            <w:hideMark/>
          </w:tcPr>
          <w:p w14:paraId="4497D9A3"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Adiantamento para Futuro Aumento de Capital</w:t>
            </w:r>
          </w:p>
        </w:tc>
        <w:tc>
          <w:tcPr>
            <w:tcW w:w="317" w:type="pct"/>
            <w:tcBorders>
              <w:top w:val="nil"/>
              <w:left w:val="nil"/>
              <w:bottom w:val="nil"/>
              <w:right w:val="nil"/>
            </w:tcBorders>
            <w:noWrap/>
            <w:vAlign w:val="center"/>
            <w:hideMark/>
          </w:tcPr>
          <w:p w14:paraId="10850906"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29.3</w:t>
            </w:r>
          </w:p>
        </w:tc>
        <w:tc>
          <w:tcPr>
            <w:tcW w:w="1101" w:type="pct"/>
            <w:gridSpan w:val="3"/>
            <w:tcBorders>
              <w:top w:val="nil"/>
              <w:left w:val="nil"/>
              <w:bottom w:val="nil"/>
              <w:right w:val="nil"/>
            </w:tcBorders>
            <w:noWrap/>
            <w:vAlign w:val="center"/>
            <w:hideMark/>
          </w:tcPr>
          <w:p w14:paraId="5AB7F79B"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54.679.217</w:t>
            </w:r>
          </w:p>
        </w:tc>
        <w:tc>
          <w:tcPr>
            <w:tcW w:w="898" w:type="pct"/>
            <w:gridSpan w:val="2"/>
            <w:tcBorders>
              <w:top w:val="nil"/>
              <w:left w:val="nil"/>
              <w:bottom w:val="nil"/>
              <w:right w:val="nil"/>
            </w:tcBorders>
            <w:noWrap/>
            <w:vAlign w:val="center"/>
            <w:hideMark/>
          </w:tcPr>
          <w:p w14:paraId="5EA2D9A3"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57.233.360 </w:t>
            </w:r>
          </w:p>
        </w:tc>
      </w:tr>
      <w:tr w:rsidR="00D87550" w:rsidRPr="00D87550" w14:paraId="681F3894" w14:textId="77777777" w:rsidTr="00D87550">
        <w:trPr>
          <w:trHeight w:val="323"/>
        </w:trPr>
        <w:tc>
          <w:tcPr>
            <w:tcW w:w="2684" w:type="pct"/>
            <w:tcBorders>
              <w:top w:val="nil"/>
              <w:left w:val="nil"/>
              <w:bottom w:val="nil"/>
              <w:right w:val="nil"/>
            </w:tcBorders>
            <w:noWrap/>
            <w:vAlign w:val="center"/>
            <w:hideMark/>
          </w:tcPr>
          <w:p w14:paraId="70742866"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p>
        </w:tc>
        <w:tc>
          <w:tcPr>
            <w:tcW w:w="317" w:type="pct"/>
            <w:tcBorders>
              <w:top w:val="nil"/>
              <w:left w:val="nil"/>
              <w:bottom w:val="nil"/>
              <w:right w:val="nil"/>
            </w:tcBorders>
            <w:noWrap/>
            <w:vAlign w:val="center"/>
            <w:hideMark/>
          </w:tcPr>
          <w:p w14:paraId="333ED3BB"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1101" w:type="pct"/>
            <w:gridSpan w:val="3"/>
            <w:tcBorders>
              <w:top w:val="nil"/>
              <w:left w:val="nil"/>
              <w:bottom w:val="nil"/>
              <w:right w:val="nil"/>
            </w:tcBorders>
            <w:noWrap/>
            <w:vAlign w:val="center"/>
            <w:hideMark/>
          </w:tcPr>
          <w:p w14:paraId="0C4D7E62"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898" w:type="pct"/>
            <w:gridSpan w:val="2"/>
            <w:tcBorders>
              <w:top w:val="nil"/>
              <w:left w:val="nil"/>
              <w:bottom w:val="nil"/>
              <w:right w:val="nil"/>
            </w:tcBorders>
            <w:noWrap/>
            <w:vAlign w:val="center"/>
            <w:hideMark/>
          </w:tcPr>
          <w:p w14:paraId="13F63A17"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0B07AE44" w14:textId="77777777" w:rsidTr="00D87550">
        <w:trPr>
          <w:trHeight w:val="323"/>
        </w:trPr>
        <w:tc>
          <w:tcPr>
            <w:tcW w:w="2684" w:type="pct"/>
            <w:tcBorders>
              <w:top w:val="single" w:sz="4" w:space="0" w:color="auto"/>
              <w:left w:val="nil"/>
              <w:bottom w:val="single" w:sz="4" w:space="0" w:color="auto"/>
              <w:right w:val="nil"/>
            </w:tcBorders>
            <w:noWrap/>
            <w:vAlign w:val="center"/>
            <w:hideMark/>
          </w:tcPr>
          <w:p w14:paraId="10CA76C3"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Total do Patrimônio Líquido</w:t>
            </w:r>
          </w:p>
        </w:tc>
        <w:tc>
          <w:tcPr>
            <w:tcW w:w="317" w:type="pct"/>
            <w:tcBorders>
              <w:top w:val="single" w:sz="4" w:space="0" w:color="auto"/>
              <w:left w:val="nil"/>
              <w:bottom w:val="single" w:sz="4" w:space="0" w:color="auto"/>
              <w:right w:val="nil"/>
            </w:tcBorders>
            <w:noWrap/>
            <w:vAlign w:val="center"/>
            <w:hideMark/>
          </w:tcPr>
          <w:p w14:paraId="423AC705"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w:t>
            </w:r>
          </w:p>
        </w:tc>
        <w:tc>
          <w:tcPr>
            <w:tcW w:w="1101" w:type="pct"/>
            <w:gridSpan w:val="3"/>
            <w:tcBorders>
              <w:top w:val="single" w:sz="4" w:space="0" w:color="auto"/>
              <w:left w:val="nil"/>
              <w:bottom w:val="single" w:sz="4" w:space="0" w:color="auto"/>
              <w:right w:val="nil"/>
            </w:tcBorders>
            <w:noWrap/>
            <w:vAlign w:val="center"/>
            <w:hideMark/>
          </w:tcPr>
          <w:p w14:paraId="63F1DCC9"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54.147.086</w:t>
            </w:r>
          </w:p>
        </w:tc>
        <w:tc>
          <w:tcPr>
            <w:tcW w:w="898" w:type="pct"/>
            <w:gridSpan w:val="2"/>
            <w:tcBorders>
              <w:top w:val="single" w:sz="4" w:space="0" w:color="auto"/>
              <w:left w:val="nil"/>
              <w:bottom w:val="single" w:sz="4" w:space="0" w:color="auto"/>
              <w:right w:val="nil"/>
            </w:tcBorders>
            <w:noWrap/>
            <w:vAlign w:val="center"/>
            <w:hideMark/>
          </w:tcPr>
          <w:p w14:paraId="50B00048"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xml:space="preserve">57.554.595 </w:t>
            </w:r>
          </w:p>
        </w:tc>
      </w:tr>
      <w:tr w:rsidR="00D87550" w:rsidRPr="00D87550" w14:paraId="24ECBA22" w14:textId="77777777" w:rsidTr="00D87550">
        <w:trPr>
          <w:trHeight w:val="323"/>
        </w:trPr>
        <w:tc>
          <w:tcPr>
            <w:tcW w:w="2684" w:type="pct"/>
            <w:tcBorders>
              <w:top w:val="nil"/>
              <w:left w:val="nil"/>
              <w:bottom w:val="nil"/>
              <w:right w:val="nil"/>
            </w:tcBorders>
            <w:noWrap/>
            <w:vAlign w:val="center"/>
            <w:hideMark/>
          </w:tcPr>
          <w:p w14:paraId="40B50D97"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p>
        </w:tc>
        <w:tc>
          <w:tcPr>
            <w:tcW w:w="317" w:type="pct"/>
            <w:tcBorders>
              <w:top w:val="nil"/>
              <w:left w:val="nil"/>
              <w:bottom w:val="nil"/>
              <w:right w:val="nil"/>
            </w:tcBorders>
            <w:noWrap/>
            <w:vAlign w:val="center"/>
            <w:hideMark/>
          </w:tcPr>
          <w:p w14:paraId="7CD73E1B"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1101" w:type="pct"/>
            <w:gridSpan w:val="3"/>
            <w:tcBorders>
              <w:top w:val="nil"/>
              <w:left w:val="nil"/>
              <w:bottom w:val="nil"/>
              <w:right w:val="nil"/>
            </w:tcBorders>
            <w:noWrap/>
            <w:vAlign w:val="center"/>
            <w:hideMark/>
          </w:tcPr>
          <w:p w14:paraId="6876935C"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898" w:type="pct"/>
            <w:gridSpan w:val="2"/>
            <w:tcBorders>
              <w:top w:val="nil"/>
              <w:left w:val="nil"/>
              <w:bottom w:val="nil"/>
              <w:right w:val="nil"/>
            </w:tcBorders>
            <w:noWrap/>
            <w:vAlign w:val="center"/>
            <w:hideMark/>
          </w:tcPr>
          <w:p w14:paraId="28000C83"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4167FD6C" w14:textId="77777777" w:rsidTr="00D87550">
        <w:trPr>
          <w:trHeight w:val="323"/>
        </w:trPr>
        <w:tc>
          <w:tcPr>
            <w:tcW w:w="2684" w:type="pct"/>
            <w:tcBorders>
              <w:top w:val="single" w:sz="4" w:space="0" w:color="auto"/>
              <w:left w:val="nil"/>
              <w:bottom w:val="single" w:sz="4" w:space="0" w:color="auto"/>
              <w:right w:val="nil"/>
            </w:tcBorders>
            <w:noWrap/>
            <w:vAlign w:val="center"/>
            <w:hideMark/>
          </w:tcPr>
          <w:p w14:paraId="28AD7B33"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Total do Passivo + Patrimônio Líquido</w:t>
            </w:r>
          </w:p>
        </w:tc>
        <w:tc>
          <w:tcPr>
            <w:tcW w:w="317" w:type="pct"/>
            <w:tcBorders>
              <w:top w:val="single" w:sz="4" w:space="0" w:color="auto"/>
              <w:left w:val="nil"/>
              <w:bottom w:val="single" w:sz="4" w:space="0" w:color="auto"/>
              <w:right w:val="nil"/>
            </w:tcBorders>
            <w:noWrap/>
            <w:vAlign w:val="center"/>
            <w:hideMark/>
          </w:tcPr>
          <w:p w14:paraId="225C2CFE"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w:t>
            </w:r>
          </w:p>
        </w:tc>
        <w:tc>
          <w:tcPr>
            <w:tcW w:w="1101" w:type="pct"/>
            <w:gridSpan w:val="3"/>
            <w:tcBorders>
              <w:top w:val="single" w:sz="4" w:space="0" w:color="auto"/>
              <w:left w:val="nil"/>
              <w:bottom w:val="single" w:sz="4" w:space="0" w:color="auto"/>
              <w:right w:val="nil"/>
            </w:tcBorders>
            <w:noWrap/>
            <w:vAlign w:val="center"/>
            <w:hideMark/>
          </w:tcPr>
          <w:p w14:paraId="4536E178"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xml:space="preserve">101.374.837 </w:t>
            </w:r>
          </w:p>
        </w:tc>
        <w:tc>
          <w:tcPr>
            <w:tcW w:w="898" w:type="pct"/>
            <w:gridSpan w:val="2"/>
            <w:tcBorders>
              <w:top w:val="single" w:sz="4" w:space="0" w:color="auto"/>
              <w:left w:val="nil"/>
              <w:bottom w:val="single" w:sz="4" w:space="0" w:color="auto"/>
              <w:right w:val="nil"/>
            </w:tcBorders>
            <w:noWrap/>
            <w:vAlign w:val="center"/>
            <w:hideMark/>
          </w:tcPr>
          <w:p w14:paraId="65748039"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xml:space="preserve">96.471.286 </w:t>
            </w:r>
          </w:p>
        </w:tc>
      </w:tr>
      <w:tr w:rsidR="00D87550" w:rsidRPr="00D87550" w14:paraId="27E7AE7F" w14:textId="77777777" w:rsidTr="00D87550">
        <w:trPr>
          <w:trHeight w:val="450"/>
        </w:trPr>
        <w:tc>
          <w:tcPr>
            <w:tcW w:w="5000" w:type="pct"/>
            <w:gridSpan w:val="7"/>
            <w:vMerge w:val="restart"/>
            <w:tcBorders>
              <w:top w:val="nil"/>
              <w:left w:val="nil"/>
              <w:bottom w:val="nil"/>
              <w:right w:val="nil"/>
            </w:tcBorders>
            <w:vAlign w:val="center"/>
            <w:hideMark/>
          </w:tcPr>
          <w:p w14:paraId="4D71F598" w14:textId="77777777" w:rsidR="00D87550" w:rsidRPr="00D87550" w:rsidRDefault="00D87550" w:rsidP="00D87550">
            <w:pPr>
              <w:spacing w:after="0" w:line="240" w:lineRule="auto"/>
              <w:jc w:val="both"/>
              <w:rPr>
                <w:rFonts w:ascii="Century" w:eastAsia="Times New Roman" w:hAnsi="Century" w:cs="Calibri"/>
                <w:color w:val="000000"/>
                <w:sz w:val="20"/>
                <w:szCs w:val="20"/>
                <w:lang w:eastAsia="pt-BR"/>
              </w:rPr>
            </w:pPr>
            <w:r w:rsidRPr="00D87550">
              <w:rPr>
                <w:rFonts w:ascii="Century" w:eastAsia="Times New Roman" w:hAnsi="Century" w:cs="Calibri"/>
                <w:color w:val="000000"/>
                <w:sz w:val="16"/>
                <w:szCs w:val="20"/>
                <w:lang w:eastAsia="pt-BR"/>
              </w:rPr>
              <w:t xml:space="preserve">Reconhecemos a exatidão do presente Balanço Patrimonial, que soma, tanto no Ativo como no Passivo a importância de </w:t>
            </w:r>
            <w:r w:rsidRPr="00D87550">
              <w:rPr>
                <w:rFonts w:ascii="Century" w:eastAsia="Times New Roman" w:hAnsi="Century" w:cs="Calibri"/>
                <w:b/>
                <w:bCs/>
                <w:color w:val="000000"/>
                <w:sz w:val="16"/>
                <w:szCs w:val="20"/>
                <w:lang w:eastAsia="pt-BR"/>
              </w:rPr>
              <w:t>R$ 101.374.837,00 (cento e um milhões, trezentos e setenta e quatro mil, oitocentos e trinta e sete reais)</w:t>
            </w:r>
            <w:r w:rsidRPr="00D87550">
              <w:rPr>
                <w:rFonts w:ascii="Century" w:eastAsia="Times New Roman" w:hAnsi="Century" w:cs="Calibri"/>
                <w:color w:val="000000"/>
                <w:sz w:val="16"/>
                <w:szCs w:val="20"/>
                <w:lang w:eastAsia="pt-BR"/>
              </w:rPr>
              <w:t>, cujos lançamentos foram efetuados de acordo com os processos fornecidos por todos os setores ao Departamento Contábil.</w:t>
            </w:r>
          </w:p>
        </w:tc>
      </w:tr>
      <w:tr w:rsidR="00D87550" w:rsidRPr="00D87550" w14:paraId="63318780" w14:textId="77777777" w:rsidTr="00D87550">
        <w:trPr>
          <w:trHeight w:val="450"/>
        </w:trPr>
        <w:tc>
          <w:tcPr>
            <w:tcW w:w="5000" w:type="pct"/>
            <w:gridSpan w:val="7"/>
            <w:vMerge/>
            <w:tcBorders>
              <w:top w:val="nil"/>
              <w:left w:val="nil"/>
              <w:bottom w:val="nil"/>
              <w:right w:val="nil"/>
            </w:tcBorders>
            <w:vAlign w:val="center"/>
            <w:hideMark/>
          </w:tcPr>
          <w:p w14:paraId="7E1E15A6"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r>
      <w:tr w:rsidR="00D87550" w:rsidRPr="00D87550" w14:paraId="64522D11" w14:textId="77777777" w:rsidTr="00D87550">
        <w:trPr>
          <w:trHeight w:val="450"/>
        </w:trPr>
        <w:tc>
          <w:tcPr>
            <w:tcW w:w="5000" w:type="pct"/>
            <w:gridSpan w:val="7"/>
            <w:vMerge/>
            <w:tcBorders>
              <w:top w:val="nil"/>
              <w:left w:val="nil"/>
              <w:bottom w:val="nil"/>
              <w:right w:val="nil"/>
            </w:tcBorders>
            <w:vAlign w:val="center"/>
            <w:hideMark/>
          </w:tcPr>
          <w:p w14:paraId="7E281FA0"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r>
      <w:tr w:rsidR="00D87550" w:rsidRPr="00D87550" w14:paraId="3DAFB54B" w14:textId="77777777" w:rsidTr="00D87550">
        <w:trPr>
          <w:trHeight w:val="255"/>
        </w:trPr>
        <w:tc>
          <w:tcPr>
            <w:tcW w:w="5000" w:type="pct"/>
            <w:gridSpan w:val="7"/>
            <w:tcBorders>
              <w:top w:val="nil"/>
              <w:left w:val="nil"/>
              <w:bottom w:val="nil"/>
              <w:right w:val="nil"/>
            </w:tcBorders>
            <w:noWrap/>
            <w:vAlign w:val="center"/>
            <w:hideMark/>
          </w:tcPr>
          <w:p w14:paraId="3F97CD67"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lastRenderedPageBreak/>
              <w:t>DEMONSTRAÇÃO DE RESULTADO DO EXERCÍCIO EM 31.12.2025</w:t>
            </w:r>
          </w:p>
        </w:tc>
      </w:tr>
      <w:tr w:rsidR="00D87550" w:rsidRPr="00D87550" w14:paraId="697C0D4A" w14:textId="77777777" w:rsidTr="00D87550">
        <w:trPr>
          <w:trHeight w:val="255"/>
        </w:trPr>
        <w:tc>
          <w:tcPr>
            <w:tcW w:w="3173" w:type="pct"/>
            <w:gridSpan w:val="3"/>
            <w:tcBorders>
              <w:top w:val="nil"/>
              <w:left w:val="nil"/>
              <w:bottom w:val="nil"/>
              <w:right w:val="nil"/>
            </w:tcBorders>
            <w:noWrap/>
            <w:vAlign w:val="center"/>
            <w:hideMark/>
          </w:tcPr>
          <w:p w14:paraId="18CAE606"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p>
        </w:tc>
        <w:tc>
          <w:tcPr>
            <w:tcW w:w="379" w:type="pct"/>
            <w:tcBorders>
              <w:top w:val="nil"/>
              <w:left w:val="nil"/>
              <w:bottom w:val="nil"/>
              <w:right w:val="nil"/>
            </w:tcBorders>
            <w:noWrap/>
            <w:vAlign w:val="center"/>
            <w:hideMark/>
          </w:tcPr>
          <w:p w14:paraId="3AE73D9C"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73" w:type="pct"/>
            <w:gridSpan w:val="2"/>
            <w:tcBorders>
              <w:top w:val="nil"/>
              <w:left w:val="nil"/>
              <w:bottom w:val="nil"/>
              <w:right w:val="nil"/>
            </w:tcBorders>
            <w:noWrap/>
            <w:vAlign w:val="center"/>
            <w:hideMark/>
          </w:tcPr>
          <w:p w14:paraId="543363CF"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75" w:type="pct"/>
            <w:tcBorders>
              <w:top w:val="nil"/>
              <w:left w:val="nil"/>
              <w:bottom w:val="nil"/>
              <w:right w:val="nil"/>
            </w:tcBorders>
            <w:noWrap/>
            <w:vAlign w:val="center"/>
            <w:hideMark/>
          </w:tcPr>
          <w:p w14:paraId="5288E9BE"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069B77D9" w14:textId="77777777" w:rsidTr="00D87550">
        <w:trPr>
          <w:trHeight w:val="300"/>
        </w:trPr>
        <w:tc>
          <w:tcPr>
            <w:tcW w:w="3173" w:type="pct"/>
            <w:gridSpan w:val="3"/>
            <w:tcBorders>
              <w:top w:val="nil"/>
              <w:left w:val="nil"/>
              <w:bottom w:val="nil"/>
              <w:right w:val="nil"/>
            </w:tcBorders>
            <w:noWrap/>
            <w:vAlign w:val="center"/>
            <w:hideMark/>
          </w:tcPr>
          <w:p w14:paraId="5716C5F8"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379" w:type="pct"/>
            <w:tcBorders>
              <w:top w:val="nil"/>
              <w:left w:val="nil"/>
              <w:bottom w:val="nil"/>
              <w:right w:val="nil"/>
            </w:tcBorders>
            <w:noWrap/>
            <w:vAlign w:val="center"/>
            <w:hideMark/>
          </w:tcPr>
          <w:p w14:paraId="1FB59F20"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NOTA</w:t>
            </w:r>
          </w:p>
        </w:tc>
        <w:tc>
          <w:tcPr>
            <w:tcW w:w="773" w:type="pct"/>
            <w:gridSpan w:val="2"/>
            <w:tcBorders>
              <w:top w:val="nil"/>
              <w:left w:val="nil"/>
              <w:bottom w:val="nil"/>
              <w:right w:val="nil"/>
            </w:tcBorders>
            <w:noWrap/>
            <w:vAlign w:val="center"/>
            <w:hideMark/>
          </w:tcPr>
          <w:p w14:paraId="15A654E9"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2025</w:t>
            </w:r>
          </w:p>
        </w:tc>
        <w:tc>
          <w:tcPr>
            <w:tcW w:w="675" w:type="pct"/>
            <w:tcBorders>
              <w:top w:val="nil"/>
              <w:left w:val="nil"/>
              <w:bottom w:val="nil"/>
              <w:right w:val="nil"/>
            </w:tcBorders>
            <w:noWrap/>
            <w:vAlign w:val="center"/>
            <w:hideMark/>
          </w:tcPr>
          <w:p w14:paraId="291430A8"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2024</w:t>
            </w:r>
          </w:p>
        </w:tc>
      </w:tr>
      <w:tr w:rsidR="00D87550" w:rsidRPr="00D87550" w14:paraId="3E5B0B1C" w14:textId="77777777" w:rsidTr="00D87550">
        <w:trPr>
          <w:trHeight w:val="255"/>
        </w:trPr>
        <w:tc>
          <w:tcPr>
            <w:tcW w:w="3173" w:type="pct"/>
            <w:gridSpan w:val="3"/>
            <w:tcBorders>
              <w:top w:val="nil"/>
              <w:left w:val="nil"/>
              <w:bottom w:val="nil"/>
              <w:right w:val="nil"/>
            </w:tcBorders>
            <w:noWrap/>
            <w:vAlign w:val="center"/>
            <w:hideMark/>
          </w:tcPr>
          <w:p w14:paraId="15517901"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p>
        </w:tc>
        <w:tc>
          <w:tcPr>
            <w:tcW w:w="379" w:type="pct"/>
            <w:tcBorders>
              <w:top w:val="nil"/>
              <w:left w:val="nil"/>
              <w:bottom w:val="nil"/>
              <w:right w:val="nil"/>
            </w:tcBorders>
            <w:noWrap/>
            <w:vAlign w:val="center"/>
            <w:hideMark/>
          </w:tcPr>
          <w:p w14:paraId="719BE58A"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73" w:type="pct"/>
            <w:gridSpan w:val="2"/>
            <w:tcBorders>
              <w:top w:val="nil"/>
              <w:left w:val="nil"/>
              <w:bottom w:val="nil"/>
              <w:right w:val="nil"/>
            </w:tcBorders>
            <w:noWrap/>
            <w:vAlign w:val="center"/>
            <w:hideMark/>
          </w:tcPr>
          <w:p w14:paraId="04C1D898"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75" w:type="pct"/>
            <w:tcBorders>
              <w:top w:val="nil"/>
              <w:left w:val="nil"/>
              <w:bottom w:val="nil"/>
              <w:right w:val="nil"/>
            </w:tcBorders>
            <w:noWrap/>
            <w:vAlign w:val="center"/>
            <w:hideMark/>
          </w:tcPr>
          <w:p w14:paraId="1B9F03A1"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1A54FE8A" w14:textId="77777777" w:rsidTr="00D87550">
        <w:trPr>
          <w:trHeight w:val="255"/>
        </w:trPr>
        <w:tc>
          <w:tcPr>
            <w:tcW w:w="3173" w:type="pct"/>
            <w:gridSpan w:val="3"/>
            <w:tcBorders>
              <w:top w:val="nil"/>
              <w:left w:val="nil"/>
              <w:bottom w:val="nil"/>
              <w:right w:val="nil"/>
            </w:tcBorders>
            <w:noWrap/>
            <w:vAlign w:val="center"/>
            <w:hideMark/>
          </w:tcPr>
          <w:p w14:paraId="45C5FFEC"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RECEITAS DE ATIVIDADES OPERACIONAIS</w:t>
            </w:r>
          </w:p>
        </w:tc>
        <w:tc>
          <w:tcPr>
            <w:tcW w:w="379" w:type="pct"/>
            <w:tcBorders>
              <w:top w:val="nil"/>
              <w:left w:val="nil"/>
              <w:bottom w:val="nil"/>
              <w:right w:val="nil"/>
            </w:tcBorders>
            <w:noWrap/>
            <w:vAlign w:val="center"/>
            <w:hideMark/>
          </w:tcPr>
          <w:p w14:paraId="57F7D6E7"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30</w:t>
            </w:r>
          </w:p>
        </w:tc>
        <w:tc>
          <w:tcPr>
            <w:tcW w:w="773" w:type="pct"/>
            <w:gridSpan w:val="2"/>
            <w:tcBorders>
              <w:top w:val="nil"/>
              <w:left w:val="nil"/>
              <w:bottom w:val="nil"/>
              <w:right w:val="nil"/>
            </w:tcBorders>
            <w:noWrap/>
            <w:vAlign w:val="center"/>
            <w:hideMark/>
          </w:tcPr>
          <w:p w14:paraId="59FC3169"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7.579.841</w:t>
            </w:r>
          </w:p>
        </w:tc>
        <w:tc>
          <w:tcPr>
            <w:tcW w:w="675" w:type="pct"/>
            <w:tcBorders>
              <w:top w:val="nil"/>
              <w:left w:val="nil"/>
              <w:bottom w:val="nil"/>
              <w:right w:val="nil"/>
            </w:tcBorders>
            <w:noWrap/>
            <w:vAlign w:val="center"/>
            <w:hideMark/>
          </w:tcPr>
          <w:p w14:paraId="3B006CA6"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3.434.203</w:t>
            </w:r>
          </w:p>
        </w:tc>
      </w:tr>
      <w:tr w:rsidR="00D87550" w:rsidRPr="00D87550" w14:paraId="01AA46C9" w14:textId="77777777" w:rsidTr="00D87550">
        <w:trPr>
          <w:trHeight w:val="255"/>
        </w:trPr>
        <w:tc>
          <w:tcPr>
            <w:tcW w:w="3173" w:type="pct"/>
            <w:gridSpan w:val="3"/>
            <w:tcBorders>
              <w:top w:val="nil"/>
              <w:left w:val="nil"/>
              <w:bottom w:val="nil"/>
              <w:right w:val="nil"/>
            </w:tcBorders>
            <w:noWrap/>
            <w:vAlign w:val="center"/>
            <w:hideMark/>
          </w:tcPr>
          <w:p w14:paraId="49B5ACA1"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Receitas na gestão de créditos</w:t>
            </w:r>
          </w:p>
        </w:tc>
        <w:tc>
          <w:tcPr>
            <w:tcW w:w="379" w:type="pct"/>
            <w:tcBorders>
              <w:top w:val="nil"/>
              <w:left w:val="nil"/>
              <w:bottom w:val="nil"/>
              <w:right w:val="nil"/>
            </w:tcBorders>
            <w:noWrap/>
            <w:vAlign w:val="center"/>
            <w:hideMark/>
          </w:tcPr>
          <w:p w14:paraId="59AC74AD"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73" w:type="pct"/>
            <w:gridSpan w:val="2"/>
            <w:tcBorders>
              <w:top w:val="nil"/>
              <w:left w:val="nil"/>
              <w:bottom w:val="nil"/>
              <w:right w:val="nil"/>
            </w:tcBorders>
            <w:noWrap/>
            <w:vAlign w:val="center"/>
            <w:hideMark/>
          </w:tcPr>
          <w:p w14:paraId="48050908"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68.907</w:t>
            </w:r>
          </w:p>
        </w:tc>
        <w:tc>
          <w:tcPr>
            <w:tcW w:w="675" w:type="pct"/>
            <w:tcBorders>
              <w:top w:val="nil"/>
              <w:left w:val="nil"/>
              <w:bottom w:val="nil"/>
              <w:right w:val="nil"/>
            </w:tcBorders>
            <w:noWrap/>
            <w:vAlign w:val="center"/>
            <w:hideMark/>
          </w:tcPr>
          <w:p w14:paraId="04385F3D"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80.436</w:t>
            </w:r>
          </w:p>
        </w:tc>
      </w:tr>
      <w:tr w:rsidR="00D87550" w:rsidRPr="00D87550" w14:paraId="64EC02DC" w14:textId="77777777" w:rsidTr="00D87550">
        <w:trPr>
          <w:trHeight w:val="255"/>
        </w:trPr>
        <w:tc>
          <w:tcPr>
            <w:tcW w:w="3173" w:type="pct"/>
            <w:gridSpan w:val="3"/>
            <w:tcBorders>
              <w:top w:val="nil"/>
              <w:left w:val="nil"/>
              <w:bottom w:val="nil"/>
              <w:right w:val="nil"/>
            </w:tcBorders>
            <w:noWrap/>
            <w:vAlign w:val="center"/>
            <w:hideMark/>
          </w:tcPr>
          <w:p w14:paraId="7C6A3328"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Receitas de comercialização</w:t>
            </w:r>
          </w:p>
        </w:tc>
        <w:tc>
          <w:tcPr>
            <w:tcW w:w="379" w:type="pct"/>
            <w:tcBorders>
              <w:top w:val="nil"/>
              <w:left w:val="nil"/>
              <w:bottom w:val="nil"/>
              <w:right w:val="nil"/>
            </w:tcBorders>
            <w:noWrap/>
            <w:vAlign w:val="center"/>
            <w:hideMark/>
          </w:tcPr>
          <w:p w14:paraId="113970D5"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73" w:type="pct"/>
            <w:gridSpan w:val="2"/>
            <w:tcBorders>
              <w:top w:val="nil"/>
              <w:left w:val="nil"/>
              <w:bottom w:val="nil"/>
              <w:right w:val="nil"/>
            </w:tcBorders>
            <w:noWrap/>
            <w:vAlign w:val="center"/>
            <w:hideMark/>
          </w:tcPr>
          <w:p w14:paraId="63AA5E96"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653.738</w:t>
            </w:r>
          </w:p>
        </w:tc>
        <w:tc>
          <w:tcPr>
            <w:tcW w:w="675" w:type="pct"/>
            <w:tcBorders>
              <w:top w:val="nil"/>
              <w:left w:val="nil"/>
              <w:bottom w:val="nil"/>
              <w:right w:val="nil"/>
            </w:tcBorders>
            <w:noWrap/>
            <w:vAlign w:val="center"/>
            <w:hideMark/>
          </w:tcPr>
          <w:p w14:paraId="19FB9E13"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980.906</w:t>
            </w:r>
          </w:p>
        </w:tc>
      </w:tr>
      <w:tr w:rsidR="00D87550" w:rsidRPr="00D87550" w14:paraId="289A1439" w14:textId="77777777" w:rsidTr="00D87550">
        <w:trPr>
          <w:trHeight w:val="255"/>
        </w:trPr>
        <w:tc>
          <w:tcPr>
            <w:tcW w:w="3173" w:type="pct"/>
            <w:gridSpan w:val="3"/>
            <w:tcBorders>
              <w:top w:val="nil"/>
              <w:left w:val="nil"/>
              <w:bottom w:val="nil"/>
              <w:right w:val="nil"/>
            </w:tcBorders>
            <w:noWrap/>
            <w:vAlign w:val="center"/>
            <w:hideMark/>
          </w:tcPr>
          <w:p w14:paraId="4D36A875"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Receitas de locação</w:t>
            </w:r>
          </w:p>
        </w:tc>
        <w:tc>
          <w:tcPr>
            <w:tcW w:w="379" w:type="pct"/>
            <w:tcBorders>
              <w:top w:val="nil"/>
              <w:left w:val="nil"/>
              <w:bottom w:val="nil"/>
              <w:right w:val="nil"/>
            </w:tcBorders>
            <w:noWrap/>
            <w:vAlign w:val="center"/>
            <w:hideMark/>
          </w:tcPr>
          <w:p w14:paraId="44E977FB"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73" w:type="pct"/>
            <w:gridSpan w:val="2"/>
            <w:tcBorders>
              <w:top w:val="nil"/>
              <w:left w:val="nil"/>
              <w:bottom w:val="nil"/>
              <w:right w:val="nil"/>
            </w:tcBorders>
            <w:noWrap/>
            <w:vAlign w:val="center"/>
            <w:hideMark/>
          </w:tcPr>
          <w:p w14:paraId="4BACAC1A"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141.051</w:t>
            </w:r>
          </w:p>
        </w:tc>
        <w:tc>
          <w:tcPr>
            <w:tcW w:w="675" w:type="pct"/>
            <w:tcBorders>
              <w:top w:val="nil"/>
              <w:left w:val="nil"/>
              <w:bottom w:val="nil"/>
              <w:right w:val="nil"/>
            </w:tcBorders>
            <w:noWrap/>
            <w:vAlign w:val="center"/>
            <w:hideMark/>
          </w:tcPr>
          <w:p w14:paraId="3A534C12"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136.591</w:t>
            </w:r>
          </w:p>
        </w:tc>
      </w:tr>
      <w:tr w:rsidR="00D87550" w:rsidRPr="00D87550" w14:paraId="29344520" w14:textId="77777777" w:rsidTr="00D87550">
        <w:trPr>
          <w:trHeight w:val="255"/>
        </w:trPr>
        <w:tc>
          <w:tcPr>
            <w:tcW w:w="3173" w:type="pct"/>
            <w:gridSpan w:val="3"/>
            <w:tcBorders>
              <w:top w:val="nil"/>
              <w:left w:val="nil"/>
              <w:bottom w:val="nil"/>
              <w:right w:val="nil"/>
            </w:tcBorders>
            <w:noWrap/>
            <w:vAlign w:val="center"/>
            <w:hideMark/>
          </w:tcPr>
          <w:p w14:paraId="3A06A5B3"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Receitas de intermediação em negócios de terceiros</w:t>
            </w:r>
          </w:p>
        </w:tc>
        <w:tc>
          <w:tcPr>
            <w:tcW w:w="379" w:type="pct"/>
            <w:tcBorders>
              <w:top w:val="nil"/>
              <w:left w:val="nil"/>
              <w:bottom w:val="nil"/>
              <w:right w:val="nil"/>
            </w:tcBorders>
            <w:noWrap/>
            <w:vAlign w:val="center"/>
            <w:hideMark/>
          </w:tcPr>
          <w:p w14:paraId="2C0F9972"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73" w:type="pct"/>
            <w:gridSpan w:val="2"/>
            <w:tcBorders>
              <w:top w:val="nil"/>
              <w:left w:val="nil"/>
              <w:bottom w:val="nil"/>
              <w:right w:val="nil"/>
            </w:tcBorders>
            <w:noWrap/>
            <w:vAlign w:val="center"/>
            <w:hideMark/>
          </w:tcPr>
          <w:p w14:paraId="6D7E86F3"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579.706</w:t>
            </w:r>
          </w:p>
        </w:tc>
        <w:tc>
          <w:tcPr>
            <w:tcW w:w="675" w:type="pct"/>
            <w:tcBorders>
              <w:top w:val="nil"/>
              <w:left w:val="nil"/>
              <w:bottom w:val="nil"/>
              <w:right w:val="nil"/>
            </w:tcBorders>
            <w:noWrap/>
            <w:vAlign w:val="center"/>
            <w:hideMark/>
          </w:tcPr>
          <w:p w14:paraId="2A0BFEA2"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519.596</w:t>
            </w:r>
          </w:p>
        </w:tc>
      </w:tr>
      <w:tr w:rsidR="00D87550" w:rsidRPr="00D87550" w14:paraId="08A1ECC9" w14:textId="77777777" w:rsidTr="00D87550">
        <w:trPr>
          <w:trHeight w:val="255"/>
        </w:trPr>
        <w:tc>
          <w:tcPr>
            <w:tcW w:w="3173" w:type="pct"/>
            <w:gridSpan w:val="3"/>
            <w:tcBorders>
              <w:top w:val="nil"/>
              <w:left w:val="nil"/>
              <w:bottom w:val="nil"/>
              <w:right w:val="nil"/>
            </w:tcBorders>
            <w:noWrap/>
            <w:vAlign w:val="center"/>
            <w:hideMark/>
          </w:tcPr>
          <w:p w14:paraId="554C9FE9"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Receitas vinculadas a projetos de terceiros</w:t>
            </w:r>
          </w:p>
        </w:tc>
        <w:tc>
          <w:tcPr>
            <w:tcW w:w="379" w:type="pct"/>
            <w:tcBorders>
              <w:top w:val="nil"/>
              <w:left w:val="nil"/>
              <w:bottom w:val="nil"/>
              <w:right w:val="nil"/>
            </w:tcBorders>
            <w:noWrap/>
            <w:vAlign w:val="center"/>
            <w:hideMark/>
          </w:tcPr>
          <w:p w14:paraId="779F8BD4"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73" w:type="pct"/>
            <w:gridSpan w:val="2"/>
            <w:tcBorders>
              <w:top w:val="nil"/>
              <w:left w:val="nil"/>
              <w:bottom w:val="nil"/>
              <w:right w:val="nil"/>
            </w:tcBorders>
            <w:noWrap/>
            <w:vAlign w:val="center"/>
            <w:hideMark/>
          </w:tcPr>
          <w:p w14:paraId="3EC42A38"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6.136.439</w:t>
            </w:r>
          </w:p>
        </w:tc>
        <w:tc>
          <w:tcPr>
            <w:tcW w:w="675" w:type="pct"/>
            <w:tcBorders>
              <w:top w:val="nil"/>
              <w:left w:val="nil"/>
              <w:bottom w:val="nil"/>
              <w:right w:val="nil"/>
            </w:tcBorders>
            <w:noWrap/>
            <w:vAlign w:val="center"/>
            <w:hideMark/>
          </w:tcPr>
          <w:p w14:paraId="069476E5"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1.716.674</w:t>
            </w:r>
          </w:p>
        </w:tc>
      </w:tr>
      <w:tr w:rsidR="00D87550" w:rsidRPr="00D87550" w14:paraId="66D7A9AE" w14:textId="77777777" w:rsidTr="00D87550">
        <w:trPr>
          <w:trHeight w:val="255"/>
        </w:trPr>
        <w:tc>
          <w:tcPr>
            <w:tcW w:w="3173" w:type="pct"/>
            <w:gridSpan w:val="3"/>
            <w:tcBorders>
              <w:top w:val="nil"/>
              <w:left w:val="nil"/>
              <w:bottom w:val="nil"/>
              <w:right w:val="nil"/>
            </w:tcBorders>
            <w:noWrap/>
            <w:vAlign w:val="center"/>
            <w:hideMark/>
          </w:tcPr>
          <w:p w14:paraId="47059A55"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p>
        </w:tc>
        <w:tc>
          <w:tcPr>
            <w:tcW w:w="379" w:type="pct"/>
            <w:tcBorders>
              <w:top w:val="nil"/>
              <w:left w:val="nil"/>
              <w:bottom w:val="nil"/>
              <w:right w:val="nil"/>
            </w:tcBorders>
            <w:noWrap/>
            <w:vAlign w:val="center"/>
            <w:hideMark/>
          </w:tcPr>
          <w:p w14:paraId="3CFE9B60"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73" w:type="pct"/>
            <w:gridSpan w:val="2"/>
            <w:tcBorders>
              <w:top w:val="nil"/>
              <w:left w:val="nil"/>
              <w:bottom w:val="nil"/>
              <w:right w:val="nil"/>
            </w:tcBorders>
            <w:noWrap/>
            <w:vAlign w:val="center"/>
            <w:hideMark/>
          </w:tcPr>
          <w:p w14:paraId="0E9B8C51"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75" w:type="pct"/>
            <w:tcBorders>
              <w:top w:val="nil"/>
              <w:left w:val="nil"/>
              <w:bottom w:val="nil"/>
              <w:right w:val="nil"/>
            </w:tcBorders>
            <w:noWrap/>
            <w:vAlign w:val="center"/>
            <w:hideMark/>
          </w:tcPr>
          <w:p w14:paraId="0062BC1F"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7750149F" w14:textId="77777777" w:rsidTr="00D87550">
        <w:trPr>
          <w:trHeight w:val="255"/>
        </w:trPr>
        <w:tc>
          <w:tcPr>
            <w:tcW w:w="3173" w:type="pct"/>
            <w:gridSpan w:val="3"/>
            <w:tcBorders>
              <w:top w:val="nil"/>
              <w:left w:val="nil"/>
              <w:bottom w:val="nil"/>
              <w:right w:val="nil"/>
            </w:tcBorders>
            <w:noWrap/>
            <w:vAlign w:val="center"/>
            <w:hideMark/>
          </w:tcPr>
          <w:p w14:paraId="7A956FCB"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379" w:type="pct"/>
            <w:tcBorders>
              <w:top w:val="nil"/>
              <w:left w:val="nil"/>
              <w:bottom w:val="nil"/>
              <w:right w:val="nil"/>
            </w:tcBorders>
            <w:noWrap/>
            <w:vAlign w:val="center"/>
            <w:hideMark/>
          </w:tcPr>
          <w:p w14:paraId="51EEC970"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73" w:type="pct"/>
            <w:gridSpan w:val="2"/>
            <w:tcBorders>
              <w:top w:val="nil"/>
              <w:left w:val="nil"/>
              <w:bottom w:val="nil"/>
              <w:right w:val="nil"/>
            </w:tcBorders>
            <w:noWrap/>
            <w:vAlign w:val="center"/>
            <w:hideMark/>
          </w:tcPr>
          <w:p w14:paraId="50B2AFEB"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75" w:type="pct"/>
            <w:tcBorders>
              <w:top w:val="nil"/>
              <w:left w:val="nil"/>
              <w:bottom w:val="nil"/>
              <w:right w:val="nil"/>
            </w:tcBorders>
            <w:noWrap/>
            <w:vAlign w:val="center"/>
            <w:hideMark/>
          </w:tcPr>
          <w:p w14:paraId="7213A93A"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5D936370" w14:textId="77777777" w:rsidTr="00D87550">
        <w:trPr>
          <w:trHeight w:val="255"/>
        </w:trPr>
        <w:tc>
          <w:tcPr>
            <w:tcW w:w="3173" w:type="pct"/>
            <w:gridSpan w:val="3"/>
            <w:tcBorders>
              <w:top w:val="nil"/>
              <w:left w:val="nil"/>
              <w:bottom w:val="nil"/>
              <w:right w:val="nil"/>
            </w:tcBorders>
            <w:noWrap/>
            <w:vAlign w:val="center"/>
            <w:hideMark/>
          </w:tcPr>
          <w:p w14:paraId="56341005"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DEDUÇÕES DA RECEITA BRUTA</w:t>
            </w:r>
          </w:p>
        </w:tc>
        <w:tc>
          <w:tcPr>
            <w:tcW w:w="379" w:type="pct"/>
            <w:tcBorders>
              <w:top w:val="nil"/>
              <w:left w:val="nil"/>
              <w:bottom w:val="nil"/>
              <w:right w:val="nil"/>
            </w:tcBorders>
            <w:noWrap/>
            <w:vAlign w:val="center"/>
            <w:hideMark/>
          </w:tcPr>
          <w:p w14:paraId="26577E30"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p>
        </w:tc>
        <w:tc>
          <w:tcPr>
            <w:tcW w:w="773" w:type="pct"/>
            <w:gridSpan w:val="2"/>
            <w:tcBorders>
              <w:top w:val="nil"/>
              <w:left w:val="nil"/>
              <w:bottom w:val="nil"/>
              <w:right w:val="nil"/>
            </w:tcBorders>
            <w:noWrap/>
            <w:vAlign w:val="center"/>
            <w:hideMark/>
          </w:tcPr>
          <w:p w14:paraId="0590C046"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177.622</w:t>
            </w:r>
          </w:p>
        </w:tc>
        <w:tc>
          <w:tcPr>
            <w:tcW w:w="675" w:type="pct"/>
            <w:tcBorders>
              <w:top w:val="nil"/>
              <w:left w:val="nil"/>
              <w:bottom w:val="nil"/>
              <w:right w:val="nil"/>
            </w:tcBorders>
            <w:noWrap/>
            <w:vAlign w:val="center"/>
            <w:hideMark/>
          </w:tcPr>
          <w:p w14:paraId="1D2CDFD3"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198.850</w:t>
            </w:r>
          </w:p>
        </w:tc>
      </w:tr>
      <w:tr w:rsidR="00D87550" w:rsidRPr="00D87550" w14:paraId="72FFEBD5" w14:textId="77777777" w:rsidTr="00D87550">
        <w:trPr>
          <w:trHeight w:val="255"/>
        </w:trPr>
        <w:tc>
          <w:tcPr>
            <w:tcW w:w="3173" w:type="pct"/>
            <w:gridSpan w:val="3"/>
            <w:tcBorders>
              <w:top w:val="nil"/>
              <w:left w:val="nil"/>
              <w:bottom w:val="nil"/>
              <w:right w:val="nil"/>
            </w:tcBorders>
            <w:noWrap/>
            <w:vAlign w:val="center"/>
            <w:hideMark/>
          </w:tcPr>
          <w:p w14:paraId="7A5AABF5"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Impostos s/faturamento</w:t>
            </w:r>
          </w:p>
        </w:tc>
        <w:tc>
          <w:tcPr>
            <w:tcW w:w="379" w:type="pct"/>
            <w:tcBorders>
              <w:top w:val="nil"/>
              <w:left w:val="nil"/>
              <w:bottom w:val="nil"/>
              <w:right w:val="nil"/>
            </w:tcBorders>
            <w:noWrap/>
            <w:vAlign w:val="center"/>
            <w:hideMark/>
          </w:tcPr>
          <w:p w14:paraId="0383C1E8"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73" w:type="pct"/>
            <w:gridSpan w:val="2"/>
            <w:tcBorders>
              <w:top w:val="nil"/>
              <w:left w:val="nil"/>
              <w:bottom w:val="nil"/>
              <w:right w:val="nil"/>
            </w:tcBorders>
            <w:noWrap/>
            <w:vAlign w:val="center"/>
            <w:hideMark/>
          </w:tcPr>
          <w:p w14:paraId="70B283F8"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177.622</w:t>
            </w:r>
          </w:p>
        </w:tc>
        <w:tc>
          <w:tcPr>
            <w:tcW w:w="675" w:type="pct"/>
            <w:tcBorders>
              <w:top w:val="nil"/>
              <w:left w:val="nil"/>
              <w:bottom w:val="nil"/>
              <w:right w:val="nil"/>
            </w:tcBorders>
            <w:noWrap/>
            <w:vAlign w:val="center"/>
            <w:hideMark/>
          </w:tcPr>
          <w:p w14:paraId="0B7DC51F"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198.850</w:t>
            </w:r>
          </w:p>
        </w:tc>
      </w:tr>
      <w:tr w:rsidR="00D87550" w:rsidRPr="00D87550" w14:paraId="112C16C4" w14:textId="77777777" w:rsidTr="00D87550">
        <w:trPr>
          <w:trHeight w:val="255"/>
        </w:trPr>
        <w:tc>
          <w:tcPr>
            <w:tcW w:w="3173" w:type="pct"/>
            <w:gridSpan w:val="3"/>
            <w:tcBorders>
              <w:top w:val="nil"/>
              <w:left w:val="nil"/>
              <w:bottom w:val="nil"/>
              <w:right w:val="nil"/>
            </w:tcBorders>
            <w:noWrap/>
            <w:vAlign w:val="center"/>
            <w:hideMark/>
          </w:tcPr>
          <w:p w14:paraId="5F0745B6"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p>
        </w:tc>
        <w:tc>
          <w:tcPr>
            <w:tcW w:w="379" w:type="pct"/>
            <w:tcBorders>
              <w:top w:val="nil"/>
              <w:left w:val="nil"/>
              <w:bottom w:val="nil"/>
              <w:right w:val="nil"/>
            </w:tcBorders>
            <w:noWrap/>
            <w:vAlign w:val="center"/>
            <w:hideMark/>
          </w:tcPr>
          <w:p w14:paraId="350A305C"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73" w:type="pct"/>
            <w:gridSpan w:val="2"/>
            <w:tcBorders>
              <w:top w:val="nil"/>
              <w:left w:val="nil"/>
              <w:bottom w:val="nil"/>
              <w:right w:val="nil"/>
            </w:tcBorders>
            <w:noWrap/>
            <w:vAlign w:val="center"/>
            <w:hideMark/>
          </w:tcPr>
          <w:p w14:paraId="62EDF9B5"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75" w:type="pct"/>
            <w:tcBorders>
              <w:top w:val="nil"/>
              <w:left w:val="nil"/>
              <w:bottom w:val="nil"/>
              <w:right w:val="nil"/>
            </w:tcBorders>
            <w:noWrap/>
            <w:vAlign w:val="center"/>
            <w:hideMark/>
          </w:tcPr>
          <w:p w14:paraId="5E918F1C"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5008181F" w14:textId="77777777" w:rsidTr="00D87550">
        <w:trPr>
          <w:trHeight w:val="255"/>
        </w:trPr>
        <w:tc>
          <w:tcPr>
            <w:tcW w:w="3173" w:type="pct"/>
            <w:gridSpan w:val="3"/>
            <w:tcBorders>
              <w:top w:val="nil"/>
              <w:left w:val="nil"/>
              <w:bottom w:val="nil"/>
              <w:right w:val="nil"/>
            </w:tcBorders>
            <w:noWrap/>
            <w:vAlign w:val="center"/>
            <w:hideMark/>
          </w:tcPr>
          <w:p w14:paraId="63721EC3"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RECEITA OPERACIONAL LÍQUIDA</w:t>
            </w:r>
          </w:p>
        </w:tc>
        <w:tc>
          <w:tcPr>
            <w:tcW w:w="379" w:type="pct"/>
            <w:tcBorders>
              <w:top w:val="nil"/>
              <w:left w:val="nil"/>
              <w:bottom w:val="nil"/>
              <w:right w:val="nil"/>
            </w:tcBorders>
            <w:noWrap/>
            <w:vAlign w:val="center"/>
            <w:hideMark/>
          </w:tcPr>
          <w:p w14:paraId="2C131C92"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p>
        </w:tc>
        <w:tc>
          <w:tcPr>
            <w:tcW w:w="773" w:type="pct"/>
            <w:gridSpan w:val="2"/>
            <w:tcBorders>
              <w:top w:val="nil"/>
              <w:left w:val="nil"/>
              <w:bottom w:val="nil"/>
              <w:right w:val="nil"/>
            </w:tcBorders>
            <w:noWrap/>
            <w:vAlign w:val="center"/>
            <w:hideMark/>
          </w:tcPr>
          <w:p w14:paraId="743BDEEF"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7.402.219</w:t>
            </w:r>
          </w:p>
        </w:tc>
        <w:tc>
          <w:tcPr>
            <w:tcW w:w="675" w:type="pct"/>
            <w:tcBorders>
              <w:top w:val="nil"/>
              <w:left w:val="nil"/>
              <w:bottom w:val="nil"/>
              <w:right w:val="nil"/>
            </w:tcBorders>
            <w:noWrap/>
            <w:vAlign w:val="center"/>
            <w:hideMark/>
          </w:tcPr>
          <w:p w14:paraId="37E4651F"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3.235.354</w:t>
            </w:r>
          </w:p>
        </w:tc>
      </w:tr>
      <w:tr w:rsidR="00D87550" w:rsidRPr="00D87550" w14:paraId="441BF304" w14:textId="77777777" w:rsidTr="00D87550">
        <w:trPr>
          <w:trHeight w:val="255"/>
        </w:trPr>
        <w:tc>
          <w:tcPr>
            <w:tcW w:w="3173" w:type="pct"/>
            <w:gridSpan w:val="3"/>
            <w:tcBorders>
              <w:top w:val="nil"/>
              <w:left w:val="nil"/>
              <w:bottom w:val="nil"/>
              <w:right w:val="nil"/>
            </w:tcBorders>
            <w:noWrap/>
            <w:vAlign w:val="center"/>
            <w:hideMark/>
          </w:tcPr>
          <w:p w14:paraId="61925080"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p>
        </w:tc>
        <w:tc>
          <w:tcPr>
            <w:tcW w:w="379" w:type="pct"/>
            <w:tcBorders>
              <w:top w:val="nil"/>
              <w:left w:val="nil"/>
              <w:bottom w:val="nil"/>
              <w:right w:val="nil"/>
            </w:tcBorders>
            <w:noWrap/>
            <w:vAlign w:val="center"/>
            <w:hideMark/>
          </w:tcPr>
          <w:p w14:paraId="45272647"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73" w:type="pct"/>
            <w:gridSpan w:val="2"/>
            <w:tcBorders>
              <w:top w:val="nil"/>
              <w:left w:val="nil"/>
              <w:bottom w:val="nil"/>
              <w:right w:val="nil"/>
            </w:tcBorders>
            <w:noWrap/>
            <w:vAlign w:val="center"/>
            <w:hideMark/>
          </w:tcPr>
          <w:p w14:paraId="09F43B3A"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75" w:type="pct"/>
            <w:tcBorders>
              <w:top w:val="nil"/>
              <w:left w:val="nil"/>
              <w:bottom w:val="nil"/>
              <w:right w:val="nil"/>
            </w:tcBorders>
            <w:noWrap/>
            <w:vAlign w:val="center"/>
            <w:hideMark/>
          </w:tcPr>
          <w:p w14:paraId="7990D3D8"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04B6F435" w14:textId="77777777" w:rsidTr="00D87550">
        <w:trPr>
          <w:trHeight w:val="255"/>
        </w:trPr>
        <w:tc>
          <w:tcPr>
            <w:tcW w:w="3173" w:type="pct"/>
            <w:gridSpan w:val="3"/>
            <w:tcBorders>
              <w:top w:val="nil"/>
              <w:left w:val="nil"/>
              <w:bottom w:val="nil"/>
              <w:right w:val="nil"/>
            </w:tcBorders>
            <w:noWrap/>
            <w:vAlign w:val="center"/>
            <w:hideMark/>
          </w:tcPr>
          <w:p w14:paraId="7F46A981"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CUSTO DOS SERVIÇOS PRESTADOS</w:t>
            </w:r>
          </w:p>
        </w:tc>
        <w:tc>
          <w:tcPr>
            <w:tcW w:w="379" w:type="pct"/>
            <w:tcBorders>
              <w:top w:val="nil"/>
              <w:left w:val="nil"/>
              <w:bottom w:val="nil"/>
              <w:right w:val="nil"/>
            </w:tcBorders>
            <w:noWrap/>
            <w:vAlign w:val="center"/>
            <w:hideMark/>
          </w:tcPr>
          <w:p w14:paraId="54E1BDE3"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p>
        </w:tc>
        <w:tc>
          <w:tcPr>
            <w:tcW w:w="773" w:type="pct"/>
            <w:gridSpan w:val="2"/>
            <w:tcBorders>
              <w:top w:val="nil"/>
              <w:left w:val="nil"/>
              <w:bottom w:val="nil"/>
              <w:right w:val="nil"/>
            </w:tcBorders>
            <w:noWrap/>
            <w:vAlign w:val="center"/>
            <w:hideMark/>
          </w:tcPr>
          <w:p w14:paraId="733E8966"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0</w:t>
            </w:r>
          </w:p>
        </w:tc>
        <w:tc>
          <w:tcPr>
            <w:tcW w:w="675" w:type="pct"/>
            <w:tcBorders>
              <w:top w:val="nil"/>
              <w:left w:val="nil"/>
              <w:bottom w:val="nil"/>
              <w:right w:val="nil"/>
            </w:tcBorders>
            <w:noWrap/>
            <w:vAlign w:val="center"/>
            <w:hideMark/>
          </w:tcPr>
          <w:p w14:paraId="412A0963"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0</w:t>
            </w:r>
          </w:p>
        </w:tc>
      </w:tr>
      <w:tr w:rsidR="00D87550" w:rsidRPr="00D87550" w14:paraId="739C325A" w14:textId="77777777" w:rsidTr="00D87550">
        <w:trPr>
          <w:trHeight w:val="255"/>
        </w:trPr>
        <w:tc>
          <w:tcPr>
            <w:tcW w:w="3173" w:type="pct"/>
            <w:gridSpan w:val="3"/>
            <w:tcBorders>
              <w:top w:val="nil"/>
              <w:left w:val="nil"/>
              <w:bottom w:val="nil"/>
              <w:right w:val="nil"/>
            </w:tcBorders>
            <w:noWrap/>
            <w:vAlign w:val="center"/>
            <w:hideMark/>
          </w:tcPr>
          <w:p w14:paraId="79C3558A"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p>
        </w:tc>
        <w:tc>
          <w:tcPr>
            <w:tcW w:w="379" w:type="pct"/>
            <w:tcBorders>
              <w:top w:val="nil"/>
              <w:left w:val="nil"/>
              <w:bottom w:val="nil"/>
              <w:right w:val="nil"/>
            </w:tcBorders>
            <w:noWrap/>
            <w:vAlign w:val="center"/>
            <w:hideMark/>
          </w:tcPr>
          <w:p w14:paraId="55B5897D"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73" w:type="pct"/>
            <w:gridSpan w:val="2"/>
            <w:tcBorders>
              <w:top w:val="nil"/>
              <w:left w:val="nil"/>
              <w:bottom w:val="nil"/>
              <w:right w:val="nil"/>
            </w:tcBorders>
            <w:noWrap/>
            <w:vAlign w:val="center"/>
            <w:hideMark/>
          </w:tcPr>
          <w:p w14:paraId="30687214"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75" w:type="pct"/>
            <w:tcBorders>
              <w:top w:val="nil"/>
              <w:left w:val="nil"/>
              <w:bottom w:val="nil"/>
              <w:right w:val="nil"/>
            </w:tcBorders>
            <w:noWrap/>
            <w:vAlign w:val="center"/>
            <w:hideMark/>
          </w:tcPr>
          <w:p w14:paraId="31ED31CC"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2A6AC29C" w14:textId="77777777" w:rsidTr="00D87550">
        <w:trPr>
          <w:trHeight w:val="255"/>
        </w:trPr>
        <w:tc>
          <w:tcPr>
            <w:tcW w:w="3173" w:type="pct"/>
            <w:gridSpan w:val="3"/>
            <w:tcBorders>
              <w:top w:val="nil"/>
              <w:left w:val="nil"/>
              <w:bottom w:val="nil"/>
              <w:right w:val="nil"/>
            </w:tcBorders>
            <w:noWrap/>
            <w:vAlign w:val="center"/>
            <w:hideMark/>
          </w:tcPr>
          <w:p w14:paraId="4A449F54"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RESULTADO OPERACIONAL BRUTO</w:t>
            </w:r>
          </w:p>
        </w:tc>
        <w:tc>
          <w:tcPr>
            <w:tcW w:w="379" w:type="pct"/>
            <w:tcBorders>
              <w:top w:val="nil"/>
              <w:left w:val="nil"/>
              <w:bottom w:val="nil"/>
              <w:right w:val="nil"/>
            </w:tcBorders>
            <w:noWrap/>
            <w:vAlign w:val="center"/>
            <w:hideMark/>
          </w:tcPr>
          <w:p w14:paraId="45A14470"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p>
        </w:tc>
        <w:tc>
          <w:tcPr>
            <w:tcW w:w="773" w:type="pct"/>
            <w:gridSpan w:val="2"/>
            <w:tcBorders>
              <w:top w:val="nil"/>
              <w:left w:val="nil"/>
              <w:bottom w:val="nil"/>
              <w:right w:val="nil"/>
            </w:tcBorders>
            <w:noWrap/>
            <w:vAlign w:val="center"/>
            <w:hideMark/>
          </w:tcPr>
          <w:p w14:paraId="56CB5E3E"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7.402.219</w:t>
            </w:r>
          </w:p>
        </w:tc>
        <w:tc>
          <w:tcPr>
            <w:tcW w:w="675" w:type="pct"/>
            <w:tcBorders>
              <w:top w:val="nil"/>
              <w:left w:val="nil"/>
              <w:bottom w:val="nil"/>
              <w:right w:val="nil"/>
            </w:tcBorders>
            <w:noWrap/>
            <w:vAlign w:val="center"/>
            <w:hideMark/>
          </w:tcPr>
          <w:p w14:paraId="52EB5D65"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3.235.354</w:t>
            </w:r>
          </w:p>
        </w:tc>
      </w:tr>
      <w:tr w:rsidR="00D87550" w:rsidRPr="00D87550" w14:paraId="4E20828F" w14:textId="77777777" w:rsidTr="00D87550">
        <w:trPr>
          <w:trHeight w:val="255"/>
        </w:trPr>
        <w:tc>
          <w:tcPr>
            <w:tcW w:w="3173" w:type="pct"/>
            <w:gridSpan w:val="3"/>
            <w:tcBorders>
              <w:top w:val="nil"/>
              <w:left w:val="nil"/>
              <w:bottom w:val="nil"/>
              <w:right w:val="nil"/>
            </w:tcBorders>
            <w:noWrap/>
            <w:vAlign w:val="center"/>
            <w:hideMark/>
          </w:tcPr>
          <w:p w14:paraId="5CB8A91F"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p>
        </w:tc>
        <w:tc>
          <w:tcPr>
            <w:tcW w:w="379" w:type="pct"/>
            <w:tcBorders>
              <w:top w:val="nil"/>
              <w:left w:val="nil"/>
              <w:bottom w:val="nil"/>
              <w:right w:val="nil"/>
            </w:tcBorders>
            <w:noWrap/>
            <w:vAlign w:val="center"/>
            <w:hideMark/>
          </w:tcPr>
          <w:p w14:paraId="333CEAEC"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73" w:type="pct"/>
            <w:gridSpan w:val="2"/>
            <w:tcBorders>
              <w:top w:val="nil"/>
              <w:left w:val="nil"/>
              <w:bottom w:val="nil"/>
              <w:right w:val="nil"/>
            </w:tcBorders>
            <w:noWrap/>
            <w:vAlign w:val="center"/>
            <w:hideMark/>
          </w:tcPr>
          <w:p w14:paraId="430D1F59"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75" w:type="pct"/>
            <w:tcBorders>
              <w:top w:val="nil"/>
              <w:left w:val="nil"/>
              <w:bottom w:val="nil"/>
              <w:right w:val="nil"/>
            </w:tcBorders>
            <w:noWrap/>
            <w:vAlign w:val="center"/>
            <w:hideMark/>
          </w:tcPr>
          <w:p w14:paraId="69787B56"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23DBD861" w14:textId="77777777" w:rsidTr="00D87550">
        <w:trPr>
          <w:trHeight w:val="255"/>
        </w:trPr>
        <w:tc>
          <w:tcPr>
            <w:tcW w:w="3173" w:type="pct"/>
            <w:gridSpan w:val="3"/>
            <w:tcBorders>
              <w:top w:val="nil"/>
              <w:left w:val="nil"/>
              <w:bottom w:val="nil"/>
              <w:right w:val="nil"/>
            </w:tcBorders>
            <w:noWrap/>
            <w:vAlign w:val="center"/>
            <w:hideMark/>
          </w:tcPr>
          <w:p w14:paraId="503D8C81"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DESPESAS DE ATIVIDADES OPERACIONAIS</w:t>
            </w:r>
          </w:p>
        </w:tc>
        <w:tc>
          <w:tcPr>
            <w:tcW w:w="379" w:type="pct"/>
            <w:tcBorders>
              <w:top w:val="nil"/>
              <w:left w:val="nil"/>
              <w:bottom w:val="nil"/>
              <w:right w:val="nil"/>
            </w:tcBorders>
            <w:noWrap/>
            <w:vAlign w:val="center"/>
            <w:hideMark/>
          </w:tcPr>
          <w:p w14:paraId="6444018F"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p>
        </w:tc>
        <w:tc>
          <w:tcPr>
            <w:tcW w:w="773" w:type="pct"/>
            <w:gridSpan w:val="2"/>
            <w:tcBorders>
              <w:top w:val="nil"/>
              <w:left w:val="nil"/>
              <w:bottom w:val="nil"/>
              <w:right w:val="nil"/>
            </w:tcBorders>
            <w:noWrap/>
            <w:vAlign w:val="center"/>
            <w:hideMark/>
          </w:tcPr>
          <w:p w14:paraId="1FFCBCD8"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857.345</w:t>
            </w:r>
          </w:p>
        </w:tc>
        <w:tc>
          <w:tcPr>
            <w:tcW w:w="675" w:type="pct"/>
            <w:tcBorders>
              <w:top w:val="nil"/>
              <w:left w:val="nil"/>
              <w:bottom w:val="nil"/>
              <w:right w:val="nil"/>
            </w:tcBorders>
            <w:noWrap/>
            <w:vAlign w:val="center"/>
            <w:hideMark/>
          </w:tcPr>
          <w:p w14:paraId="3DE5618B"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850.373</w:t>
            </w:r>
          </w:p>
        </w:tc>
      </w:tr>
      <w:tr w:rsidR="00D87550" w:rsidRPr="00D87550" w14:paraId="4E2BDC4B" w14:textId="77777777" w:rsidTr="00D87550">
        <w:trPr>
          <w:trHeight w:val="255"/>
        </w:trPr>
        <w:tc>
          <w:tcPr>
            <w:tcW w:w="3173" w:type="pct"/>
            <w:gridSpan w:val="3"/>
            <w:tcBorders>
              <w:top w:val="nil"/>
              <w:left w:val="nil"/>
              <w:bottom w:val="nil"/>
              <w:right w:val="nil"/>
            </w:tcBorders>
            <w:noWrap/>
            <w:vAlign w:val="center"/>
            <w:hideMark/>
          </w:tcPr>
          <w:p w14:paraId="4408D4A2"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Despesas na gestão de créditos</w:t>
            </w:r>
          </w:p>
        </w:tc>
        <w:tc>
          <w:tcPr>
            <w:tcW w:w="379" w:type="pct"/>
            <w:tcBorders>
              <w:top w:val="nil"/>
              <w:left w:val="nil"/>
              <w:bottom w:val="nil"/>
              <w:right w:val="nil"/>
            </w:tcBorders>
            <w:noWrap/>
            <w:vAlign w:val="center"/>
            <w:hideMark/>
          </w:tcPr>
          <w:p w14:paraId="21D22B10"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73" w:type="pct"/>
            <w:gridSpan w:val="2"/>
            <w:tcBorders>
              <w:top w:val="nil"/>
              <w:left w:val="nil"/>
              <w:bottom w:val="nil"/>
              <w:right w:val="nil"/>
            </w:tcBorders>
            <w:noWrap/>
            <w:vAlign w:val="center"/>
            <w:hideMark/>
          </w:tcPr>
          <w:p w14:paraId="16CAC0FC"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75" w:type="pct"/>
            <w:tcBorders>
              <w:top w:val="nil"/>
              <w:left w:val="nil"/>
              <w:bottom w:val="nil"/>
              <w:right w:val="nil"/>
            </w:tcBorders>
            <w:noWrap/>
            <w:vAlign w:val="center"/>
            <w:hideMark/>
          </w:tcPr>
          <w:p w14:paraId="7B5A318D"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1.390</w:t>
            </w:r>
          </w:p>
        </w:tc>
      </w:tr>
      <w:tr w:rsidR="00D87550" w:rsidRPr="00D87550" w14:paraId="502E33CC" w14:textId="77777777" w:rsidTr="00D87550">
        <w:trPr>
          <w:trHeight w:val="255"/>
        </w:trPr>
        <w:tc>
          <w:tcPr>
            <w:tcW w:w="3173" w:type="pct"/>
            <w:gridSpan w:val="3"/>
            <w:tcBorders>
              <w:top w:val="nil"/>
              <w:left w:val="nil"/>
              <w:bottom w:val="nil"/>
              <w:right w:val="nil"/>
            </w:tcBorders>
            <w:noWrap/>
            <w:vAlign w:val="center"/>
            <w:hideMark/>
          </w:tcPr>
          <w:p w14:paraId="03AEFCA5"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Despesas de tributação</w:t>
            </w:r>
          </w:p>
        </w:tc>
        <w:tc>
          <w:tcPr>
            <w:tcW w:w="379" w:type="pct"/>
            <w:tcBorders>
              <w:top w:val="nil"/>
              <w:left w:val="nil"/>
              <w:bottom w:val="nil"/>
              <w:right w:val="nil"/>
            </w:tcBorders>
            <w:noWrap/>
            <w:vAlign w:val="center"/>
            <w:hideMark/>
          </w:tcPr>
          <w:p w14:paraId="6B1EFFC9"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73" w:type="pct"/>
            <w:gridSpan w:val="2"/>
            <w:tcBorders>
              <w:top w:val="nil"/>
              <w:left w:val="nil"/>
              <w:bottom w:val="nil"/>
              <w:right w:val="nil"/>
            </w:tcBorders>
            <w:noWrap/>
            <w:vAlign w:val="center"/>
            <w:hideMark/>
          </w:tcPr>
          <w:p w14:paraId="1F47A48D"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857.345</w:t>
            </w:r>
          </w:p>
        </w:tc>
        <w:tc>
          <w:tcPr>
            <w:tcW w:w="675" w:type="pct"/>
            <w:tcBorders>
              <w:top w:val="nil"/>
              <w:left w:val="nil"/>
              <w:bottom w:val="nil"/>
              <w:right w:val="nil"/>
            </w:tcBorders>
            <w:noWrap/>
            <w:vAlign w:val="center"/>
            <w:hideMark/>
          </w:tcPr>
          <w:p w14:paraId="1A8089AB"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848.983</w:t>
            </w:r>
          </w:p>
        </w:tc>
      </w:tr>
      <w:tr w:rsidR="00D87550" w:rsidRPr="00D87550" w14:paraId="2C17F5B0" w14:textId="77777777" w:rsidTr="00D87550">
        <w:trPr>
          <w:trHeight w:val="255"/>
        </w:trPr>
        <w:tc>
          <w:tcPr>
            <w:tcW w:w="3173" w:type="pct"/>
            <w:gridSpan w:val="3"/>
            <w:tcBorders>
              <w:top w:val="nil"/>
              <w:left w:val="nil"/>
              <w:bottom w:val="nil"/>
              <w:right w:val="nil"/>
            </w:tcBorders>
            <w:noWrap/>
            <w:vAlign w:val="center"/>
            <w:hideMark/>
          </w:tcPr>
          <w:p w14:paraId="1785E850"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p>
        </w:tc>
        <w:tc>
          <w:tcPr>
            <w:tcW w:w="379" w:type="pct"/>
            <w:tcBorders>
              <w:top w:val="nil"/>
              <w:left w:val="nil"/>
              <w:bottom w:val="nil"/>
              <w:right w:val="nil"/>
            </w:tcBorders>
            <w:noWrap/>
            <w:vAlign w:val="center"/>
            <w:hideMark/>
          </w:tcPr>
          <w:p w14:paraId="072DF851"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73" w:type="pct"/>
            <w:gridSpan w:val="2"/>
            <w:tcBorders>
              <w:top w:val="nil"/>
              <w:left w:val="nil"/>
              <w:bottom w:val="nil"/>
              <w:right w:val="nil"/>
            </w:tcBorders>
            <w:noWrap/>
            <w:vAlign w:val="center"/>
            <w:hideMark/>
          </w:tcPr>
          <w:p w14:paraId="099BF832"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75" w:type="pct"/>
            <w:tcBorders>
              <w:top w:val="nil"/>
              <w:left w:val="nil"/>
              <w:bottom w:val="nil"/>
              <w:right w:val="nil"/>
            </w:tcBorders>
            <w:noWrap/>
            <w:vAlign w:val="center"/>
            <w:hideMark/>
          </w:tcPr>
          <w:p w14:paraId="3F8D558E"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108BD1D3" w14:textId="77777777" w:rsidTr="00D87550">
        <w:trPr>
          <w:trHeight w:val="255"/>
        </w:trPr>
        <w:tc>
          <w:tcPr>
            <w:tcW w:w="3173" w:type="pct"/>
            <w:gridSpan w:val="3"/>
            <w:tcBorders>
              <w:top w:val="nil"/>
              <w:left w:val="nil"/>
              <w:bottom w:val="nil"/>
              <w:right w:val="nil"/>
            </w:tcBorders>
            <w:noWrap/>
            <w:vAlign w:val="center"/>
            <w:hideMark/>
          </w:tcPr>
          <w:p w14:paraId="2E393742"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RESULTADO OPERACIONAL BRUTO</w:t>
            </w:r>
          </w:p>
        </w:tc>
        <w:tc>
          <w:tcPr>
            <w:tcW w:w="379" w:type="pct"/>
            <w:tcBorders>
              <w:top w:val="nil"/>
              <w:left w:val="nil"/>
              <w:bottom w:val="nil"/>
              <w:right w:val="nil"/>
            </w:tcBorders>
            <w:noWrap/>
            <w:vAlign w:val="center"/>
            <w:hideMark/>
          </w:tcPr>
          <w:p w14:paraId="64099C0B"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p>
        </w:tc>
        <w:tc>
          <w:tcPr>
            <w:tcW w:w="773" w:type="pct"/>
            <w:gridSpan w:val="2"/>
            <w:tcBorders>
              <w:top w:val="nil"/>
              <w:left w:val="nil"/>
              <w:bottom w:val="nil"/>
              <w:right w:val="nil"/>
            </w:tcBorders>
            <w:noWrap/>
            <w:vAlign w:val="center"/>
            <w:hideMark/>
          </w:tcPr>
          <w:p w14:paraId="5FB42D42"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6.544.873</w:t>
            </w:r>
          </w:p>
        </w:tc>
        <w:tc>
          <w:tcPr>
            <w:tcW w:w="675" w:type="pct"/>
            <w:tcBorders>
              <w:top w:val="nil"/>
              <w:left w:val="nil"/>
              <w:bottom w:val="nil"/>
              <w:right w:val="nil"/>
            </w:tcBorders>
            <w:noWrap/>
            <w:vAlign w:val="center"/>
            <w:hideMark/>
          </w:tcPr>
          <w:p w14:paraId="1E391FF6"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2.384.981</w:t>
            </w:r>
          </w:p>
        </w:tc>
      </w:tr>
      <w:tr w:rsidR="00D87550" w:rsidRPr="00D87550" w14:paraId="1068A581" w14:textId="77777777" w:rsidTr="00D87550">
        <w:trPr>
          <w:trHeight w:val="255"/>
        </w:trPr>
        <w:tc>
          <w:tcPr>
            <w:tcW w:w="3173" w:type="pct"/>
            <w:gridSpan w:val="3"/>
            <w:tcBorders>
              <w:top w:val="nil"/>
              <w:left w:val="nil"/>
              <w:bottom w:val="nil"/>
              <w:right w:val="nil"/>
            </w:tcBorders>
            <w:noWrap/>
            <w:vAlign w:val="center"/>
            <w:hideMark/>
          </w:tcPr>
          <w:p w14:paraId="5EFD3AA1"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p>
        </w:tc>
        <w:tc>
          <w:tcPr>
            <w:tcW w:w="379" w:type="pct"/>
            <w:tcBorders>
              <w:top w:val="nil"/>
              <w:left w:val="nil"/>
              <w:bottom w:val="nil"/>
              <w:right w:val="nil"/>
            </w:tcBorders>
            <w:noWrap/>
            <w:vAlign w:val="center"/>
            <w:hideMark/>
          </w:tcPr>
          <w:p w14:paraId="33BF2E6C"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73" w:type="pct"/>
            <w:gridSpan w:val="2"/>
            <w:tcBorders>
              <w:top w:val="nil"/>
              <w:left w:val="nil"/>
              <w:bottom w:val="nil"/>
              <w:right w:val="nil"/>
            </w:tcBorders>
            <w:noWrap/>
            <w:vAlign w:val="center"/>
            <w:hideMark/>
          </w:tcPr>
          <w:p w14:paraId="4864A958"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75" w:type="pct"/>
            <w:tcBorders>
              <w:top w:val="nil"/>
              <w:left w:val="nil"/>
              <w:bottom w:val="nil"/>
              <w:right w:val="nil"/>
            </w:tcBorders>
            <w:noWrap/>
            <w:vAlign w:val="center"/>
            <w:hideMark/>
          </w:tcPr>
          <w:p w14:paraId="58C17314"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6DE8D343" w14:textId="77777777" w:rsidTr="00D87550">
        <w:trPr>
          <w:trHeight w:val="255"/>
        </w:trPr>
        <w:tc>
          <w:tcPr>
            <w:tcW w:w="3173" w:type="pct"/>
            <w:gridSpan w:val="3"/>
            <w:tcBorders>
              <w:top w:val="nil"/>
              <w:left w:val="nil"/>
              <w:bottom w:val="nil"/>
              <w:right w:val="nil"/>
            </w:tcBorders>
            <w:noWrap/>
            <w:vAlign w:val="center"/>
            <w:hideMark/>
          </w:tcPr>
          <w:p w14:paraId="19A1F42C"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DESPESAS GERAIS E ADMINISTRATIVAS</w:t>
            </w:r>
          </w:p>
        </w:tc>
        <w:tc>
          <w:tcPr>
            <w:tcW w:w="379" w:type="pct"/>
            <w:tcBorders>
              <w:top w:val="nil"/>
              <w:left w:val="nil"/>
              <w:bottom w:val="nil"/>
              <w:right w:val="nil"/>
            </w:tcBorders>
            <w:noWrap/>
            <w:vAlign w:val="center"/>
            <w:hideMark/>
          </w:tcPr>
          <w:p w14:paraId="7520F933"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31</w:t>
            </w:r>
          </w:p>
        </w:tc>
        <w:tc>
          <w:tcPr>
            <w:tcW w:w="773" w:type="pct"/>
            <w:gridSpan w:val="2"/>
            <w:tcBorders>
              <w:top w:val="nil"/>
              <w:left w:val="nil"/>
              <w:bottom w:val="nil"/>
              <w:right w:val="nil"/>
            </w:tcBorders>
            <w:noWrap/>
            <w:vAlign w:val="center"/>
            <w:hideMark/>
          </w:tcPr>
          <w:p w14:paraId="0D0502BB"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68.343.487</w:t>
            </w:r>
          </w:p>
        </w:tc>
        <w:tc>
          <w:tcPr>
            <w:tcW w:w="675" w:type="pct"/>
            <w:tcBorders>
              <w:top w:val="nil"/>
              <w:left w:val="nil"/>
              <w:bottom w:val="nil"/>
              <w:right w:val="nil"/>
            </w:tcBorders>
            <w:noWrap/>
            <w:vAlign w:val="center"/>
            <w:hideMark/>
          </w:tcPr>
          <w:p w14:paraId="14467450"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63.903.729</w:t>
            </w:r>
          </w:p>
        </w:tc>
      </w:tr>
      <w:tr w:rsidR="00D87550" w:rsidRPr="00D87550" w14:paraId="4E4BEF8E" w14:textId="77777777" w:rsidTr="00D87550">
        <w:trPr>
          <w:trHeight w:val="255"/>
        </w:trPr>
        <w:tc>
          <w:tcPr>
            <w:tcW w:w="3173" w:type="pct"/>
            <w:gridSpan w:val="3"/>
            <w:tcBorders>
              <w:top w:val="nil"/>
              <w:left w:val="nil"/>
              <w:bottom w:val="nil"/>
              <w:right w:val="nil"/>
            </w:tcBorders>
            <w:noWrap/>
            <w:vAlign w:val="center"/>
            <w:hideMark/>
          </w:tcPr>
          <w:p w14:paraId="17FDA602"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Despesas de pessoal</w:t>
            </w:r>
          </w:p>
        </w:tc>
        <w:tc>
          <w:tcPr>
            <w:tcW w:w="379" w:type="pct"/>
            <w:tcBorders>
              <w:top w:val="nil"/>
              <w:left w:val="nil"/>
              <w:bottom w:val="nil"/>
              <w:right w:val="nil"/>
            </w:tcBorders>
            <w:noWrap/>
            <w:vAlign w:val="center"/>
            <w:hideMark/>
          </w:tcPr>
          <w:p w14:paraId="78D64728"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73" w:type="pct"/>
            <w:gridSpan w:val="2"/>
            <w:tcBorders>
              <w:top w:val="nil"/>
              <w:left w:val="nil"/>
              <w:bottom w:val="nil"/>
              <w:right w:val="nil"/>
            </w:tcBorders>
            <w:noWrap/>
            <w:vAlign w:val="center"/>
            <w:hideMark/>
          </w:tcPr>
          <w:p w14:paraId="4F74BEB8"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36.998.407</w:t>
            </w:r>
          </w:p>
        </w:tc>
        <w:tc>
          <w:tcPr>
            <w:tcW w:w="675" w:type="pct"/>
            <w:tcBorders>
              <w:top w:val="nil"/>
              <w:left w:val="nil"/>
              <w:bottom w:val="nil"/>
              <w:right w:val="nil"/>
            </w:tcBorders>
            <w:noWrap/>
            <w:vAlign w:val="center"/>
            <w:hideMark/>
          </w:tcPr>
          <w:p w14:paraId="4CC575FB"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38.374.674</w:t>
            </w:r>
          </w:p>
        </w:tc>
      </w:tr>
      <w:tr w:rsidR="00D87550" w:rsidRPr="00D87550" w14:paraId="48C57248" w14:textId="77777777" w:rsidTr="00D87550">
        <w:trPr>
          <w:trHeight w:val="255"/>
        </w:trPr>
        <w:tc>
          <w:tcPr>
            <w:tcW w:w="3173" w:type="pct"/>
            <w:gridSpan w:val="3"/>
            <w:tcBorders>
              <w:top w:val="nil"/>
              <w:left w:val="nil"/>
              <w:bottom w:val="nil"/>
              <w:right w:val="nil"/>
            </w:tcBorders>
            <w:noWrap/>
            <w:vAlign w:val="center"/>
            <w:hideMark/>
          </w:tcPr>
          <w:p w14:paraId="5231FE77"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Encargos sociais</w:t>
            </w:r>
          </w:p>
        </w:tc>
        <w:tc>
          <w:tcPr>
            <w:tcW w:w="379" w:type="pct"/>
            <w:tcBorders>
              <w:top w:val="nil"/>
              <w:left w:val="nil"/>
              <w:bottom w:val="nil"/>
              <w:right w:val="nil"/>
            </w:tcBorders>
            <w:noWrap/>
            <w:vAlign w:val="center"/>
            <w:hideMark/>
          </w:tcPr>
          <w:p w14:paraId="62FBF9F0"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73" w:type="pct"/>
            <w:gridSpan w:val="2"/>
            <w:tcBorders>
              <w:top w:val="nil"/>
              <w:left w:val="nil"/>
              <w:bottom w:val="nil"/>
              <w:right w:val="nil"/>
            </w:tcBorders>
            <w:noWrap/>
            <w:vAlign w:val="center"/>
            <w:hideMark/>
          </w:tcPr>
          <w:p w14:paraId="77B05CCD"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11.159.996</w:t>
            </w:r>
          </w:p>
        </w:tc>
        <w:tc>
          <w:tcPr>
            <w:tcW w:w="675" w:type="pct"/>
            <w:tcBorders>
              <w:top w:val="nil"/>
              <w:left w:val="nil"/>
              <w:bottom w:val="nil"/>
              <w:right w:val="nil"/>
            </w:tcBorders>
            <w:noWrap/>
            <w:vAlign w:val="center"/>
            <w:hideMark/>
          </w:tcPr>
          <w:p w14:paraId="43E524E6"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11.302.369</w:t>
            </w:r>
          </w:p>
        </w:tc>
      </w:tr>
      <w:tr w:rsidR="00D87550" w:rsidRPr="00D87550" w14:paraId="66EBF37D" w14:textId="77777777" w:rsidTr="00D87550">
        <w:trPr>
          <w:trHeight w:val="255"/>
        </w:trPr>
        <w:tc>
          <w:tcPr>
            <w:tcW w:w="3173" w:type="pct"/>
            <w:gridSpan w:val="3"/>
            <w:tcBorders>
              <w:top w:val="nil"/>
              <w:left w:val="nil"/>
              <w:bottom w:val="nil"/>
              <w:right w:val="nil"/>
            </w:tcBorders>
            <w:noWrap/>
            <w:vAlign w:val="center"/>
            <w:hideMark/>
          </w:tcPr>
          <w:p w14:paraId="59BE0F1E"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Serviços de terceiros</w:t>
            </w:r>
          </w:p>
        </w:tc>
        <w:tc>
          <w:tcPr>
            <w:tcW w:w="379" w:type="pct"/>
            <w:tcBorders>
              <w:top w:val="nil"/>
              <w:left w:val="nil"/>
              <w:bottom w:val="nil"/>
              <w:right w:val="nil"/>
            </w:tcBorders>
            <w:noWrap/>
            <w:vAlign w:val="center"/>
            <w:hideMark/>
          </w:tcPr>
          <w:p w14:paraId="6B56DF5E"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31.1</w:t>
            </w:r>
          </w:p>
        </w:tc>
        <w:tc>
          <w:tcPr>
            <w:tcW w:w="773" w:type="pct"/>
            <w:gridSpan w:val="2"/>
            <w:tcBorders>
              <w:top w:val="nil"/>
              <w:left w:val="nil"/>
              <w:bottom w:val="nil"/>
              <w:right w:val="nil"/>
            </w:tcBorders>
            <w:noWrap/>
            <w:vAlign w:val="center"/>
            <w:hideMark/>
          </w:tcPr>
          <w:p w14:paraId="7EC40172"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19.818.246</w:t>
            </w:r>
          </w:p>
        </w:tc>
        <w:tc>
          <w:tcPr>
            <w:tcW w:w="675" w:type="pct"/>
            <w:tcBorders>
              <w:top w:val="nil"/>
              <w:left w:val="nil"/>
              <w:bottom w:val="nil"/>
              <w:right w:val="nil"/>
            </w:tcBorders>
            <w:noWrap/>
            <w:vAlign w:val="center"/>
            <w:hideMark/>
          </w:tcPr>
          <w:p w14:paraId="40786C9F"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10.519.819</w:t>
            </w:r>
          </w:p>
        </w:tc>
      </w:tr>
      <w:tr w:rsidR="00D87550" w:rsidRPr="00D87550" w14:paraId="1AB6D03A" w14:textId="77777777" w:rsidTr="00D87550">
        <w:trPr>
          <w:trHeight w:val="255"/>
        </w:trPr>
        <w:tc>
          <w:tcPr>
            <w:tcW w:w="3173" w:type="pct"/>
            <w:gridSpan w:val="3"/>
            <w:tcBorders>
              <w:top w:val="nil"/>
              <w:left w:val="nil"/>
              <w:bottom w:val="nil"/>
              <w:right w:val="nil"/>
            </w:tcBorders>
            <w:noWrap/>
            <w:vAlign w:val="center"/>
            <w:hideMark/>
          </w:tcPr>
          <w:p w14:paraId="04E8F98D"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Despesas com materiais</w:t>
            </w:r>
          </w:p>
        </w:tc>
        <w:tc>
          <w:tcPr>
            <w:tcW w:w="379" w:type="pct"/>
            <w:tcBorders>
              <w:top w:val="nil"/>
              <w:left w:val="nil"/>
              <w:bottom w:val="nil"/>
              <w:right w:val="nil"/>
            </w:tcBorders>
            <w:noWrap/>
            <w:vAlign w:val="center"/>
            <w:hideMark/>
          </w:tcPr>
          <w:p w14:paraId="78BA425A"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73" w:type="pct"/>
            <w:gridSpan w:val="2"/>
            <w:tcBorders>
              <w:top w:val="nil"/>
              <w:left w:val="nil"/>
              <w:bottom w:val="nil"/>
              <w:right w:val="nil"/>
            </w:tcBorders>
            <w:noWrap/>
            <w:vAlign w:val="center"/>
            <w:hideMark/>
          </w:tcPr>
          <w:p w14:paraId="1C907660"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77.505</w:t>
            </w:r>
          </w:p>
        </w:tc>
        <w:tc>
          <w:tcPr>
            <w:tcW w:w="675" w:type="pct"/>
            <w:tcBorders>
              <w:top w:val="nil"/>
              <w:left w:val="nil"/>
              <w:bottom w:val="nil"/>
              <w:right w:val="nil"/>
            </w:tcBorders>
            <w:noWrap/>
            <w:vAlign w:val="center"/>
            <w:hideMark/>
          </w:tcPr>
          <w:p w14:paraId="6D1A0821"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104.082</w:t>
            </w:r>
          </w:p>
        </w:tc>
      </w:tr>
      <w:tr w:rsidR="00D87550" w:rsidRPr="00D87550" w14:paraId="6BDBB07A" w14:textId="77777777" w:rsidTr="00D87550">
        <w:trPr>
          <w:trHeight w:val="255"/>
        </w:trPr>
        <w:tc>
          <w:tcPr>
            <w:tcW w:w="3173" w:type="pct"/>
            <w:gridSpan w:val="3"/>
            <w:tcBorders>
              <w:top w:val="nil"/>
              <w:left w:val="nil"/>
              <w:bottom w:val="nil"/>
              <w:right w:val="nil"/>
            </w:tcBorders>
            <w:noWrap/>
            <w:vAlign w:val="center"/>
            <w:hideMark/>
          </w:tcPr>
          <w:p w14:paraId="725F0CD2"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Encargos diversos</w:t>
            </w:r>
          </w:p>
        </w:tc>
        <w:tc>
          <w:tcPr>
            <w:tcW w:w="379" w:type="pct"/>
            <w:tcBorders>
              <w:top w:val="nil"/>
              <w:left w:val="nil"/>
              <w:bottom w:val="nil"/>
              <w:right w:val="nil"/>
            </w:tcBorders>
            <w:noWrap/>
            <w:vAlign w:val="center"/>
            <w:hideMark/>
          </w:tcPr>
          <w:p w14:paraId="437BC6A1"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73" w:type="pct"/>
            <w:gridSpan w:val="2"/>
            <w:tcBorders>
              <w:top w:val="nil"/>
              <w:left w:val="nil"/>
              <w:bottom w:val="nil"/>
              <w:right w:val="nil"/>
            </w:tcBorders>
            <w:noWrap/>
            <w:vAlign w:val="center"/>
            <w:hideMark/>
          </w:tcPr>
          <w:p w14:paraId="7E7FEF84"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289.333</w:t>
            </w:r>
          </w:p>
        </w:tc>
        <w:tc>
          <w:tcPr>
            <w:tcW w:w="675" w:type="pct"/>
            <w:tcBorders>
              <w:top w:val="nil"/>
              <w:left w:val="nil"/>
              <w:bottom w:val="nil"/>
              <w:right w:val="nil"/>
            </w:tcBorders>
            <w:noWrap/>
            <w:vAlign w:val="center"/>
            <w:hideMark/>
          </w:tcPr>
          <w:p w14:paraId="0D14A3C7"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3.202.785</w:t>
            </w:r>
          </w:p>
        </w:tc>
      </w:tr>
      <w:tr w:rsidR="00D87550" w:rsidRPr="00D87550" w14:paraId="0E662723" w14:textId="77777777" w:rsidTr="00D87550">
        <w:trPr>
          <w:trHeight w:val="255"/>
        </w:trPr>
        <w:tc>
          <w:tcPr>
            <w:tcW w:w="3173" w:type="pct"/>
            <w:gridSpan w:val="3"/>
            <w:tcBorders>
              <w:top w:val="nil"/>
              <w:left w:val="nil"/>
              <w:bottom w:val="nil"/>
              <w:right w:val="nil"/>
            </w:tcBorders>
            <w:noWrap/>
            <w:vAlign w:val="center"/>
            <w:hideMark/>
          </w:tcPr>
          <w:p w14:paraId="660E3872"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Despesas de convênios e parcerias</w:t>
            </w:r>
          </w:p>
        </w:tc>
        <w:tc>
          <w:tcPr>
            <w:tcW w:w="379" w:type="pct"/>
            <w:tcBorders>
              <w:top w:val="nil"/>
              <w:left w:val="nil"/>
              <w:bottom w:val="nil"/>
              <w:right w:val="nil"/>
            </w:tcBorders>
            <w:noWrap/>
            <w:vAlign w:val="center"/>
            <w:hideMark/>
          </w:tcPr>
          <w:p w14:paraId="4A985EA1"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73" w:type="pct"/>
            <w:gridSpan w:val="2"/>
            <w:tcBorders>
              <w:top w:val="nil"/>
              <w:left w:val="nil"/>
              <w:bottom w:val="nil"/>
              <w:right w:val="nil"/>
            </w:tcBorders>
            <w:noWrap/>
            <w:vAlign w:val="center"/>
            <w:hideMark/>
          </w:tcPr>
          <w:p w14:paraId="527331EF"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75" w:type="pct"/>
            <w:tcBorders>
              <w:top w:val="nil"/>
              <w:left w:val="nil"/>
              <w:bottom w:val="nil"/>
              <w:right w:val="nil"/>
            </w:tcBorders>
            <w:noWrap/>
            <w:vAlign w:val="center"/>
            <w:hideMark/>
          </w:tcPr>
          <w:p w14:paraId="284F89CC"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0</w:t>
            </w:r>
          </w:p>
        </w:tc>
      </w:tr>
      <w:tr w:rsidR="00D87550" w:rsidRPr="00D87550" w14:paraId="064F30E2" w14:textId="77777777" w:rsidTr="00D87550">
        <w:trPr>
          <w:trHeight w:val="255"/>
        </w:trPr>
        <w:tc>
          <w:tcPr>
            <w:tcW w:w="3173" w:type="pct"/>
            <w:gridSpan w:val="3"/>
            <w:tcBorders>
              <w:top w:val="nil"/>
              <w:left w:val="nil"/>
              <w:bottom w:val="nil"/>
              <w:right w:val="nil"/>
            </w:tcBorders>
            <w:noWrap/>
            <w:vAlign w:val="center"/>
            <w:hideMark/>
          </w:tcPr>
          <w:p w14:paraId="7FF81CE3"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Despesas com patrocínios</w:t>
            </w:r>
          </w:p>
        </w:tc>
        <w:tc>
          <w:tcPr>
            <w:tcW w:w="379" w:type="pct"/>
            <w:tcBorders>
              <w:top w:val="nil"/>
              <w:left w:val="nil"/>
              <w:bottom w:val="nil"/>
              <w:right w:val="nil"/>
            </w:tcBorders>
            <w:noWrap/>
            <w:vAlign w:val="center"/>
            <w:hideMark/>
          </w:tcPr>
          <w:p w14:paraId="6C7932FD"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73" w:type="pct"/>
            <w:gridSpan w:val="2"/>
            <w:tcBorders>
              <w:top w:val="nil"/>
              <w:left w:val="nil"/>
              <w:bottom w:val="nil"/>
              <w:right w:val="nil"/>
            </w:tcBorders>
            <w:noWrap/>
            <w:vAlign w:val="center"/>
            <w:hideMark/>
          </w:tcPr>
          <w:p w14:paraId="00A5FDF0"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75" w:type="pct"/>
            <w:tcBorders>
              <w:top w:val="nil"/>
              <w:left w:val="nil"/>
              <w:bottom w:val="nil"/>
              <w:right w:val="nil"/>
            </w:tcBorders>
            <w:noWrap/>
            <w:vAlign w:val="center"/>
            <w:hideMark/>
          </w:tcPr>
          <w:p w14:paraId="7B0B948F"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400.000</w:t>
            </w:r>
          </w:p>
        </w:tc>
      </w:tr>
      <w:tr w:rsidR="00D87550" w:rsidRPr="00D87550" w14:paraId="08FB2488" w14:textId="77777777" w:rsidTr="00D87550">
        <w:trPr>
          <w:trHeight w:val="255"/>
        </w:trPr>
        <w:tc>
          <w:tcPr>
            <w:tcW w:w="3173" w:type="pct"/>
            <w:gridSpan w:val="3"/>
            <w:tcBorders>
              <w:top w:val="nil"/>
              <w:left w:val="nil"/>
              <w:bottom w:val="nil"/>
              <w:right w:val="nil"/>
            </w:tcBorders>
            <w:noWrap/>
            <w:vAlign w:val="center"/>
            <w:hideMark/>
          </w:tcPr>
          <w:p w14:paraId="27130194"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p>
        </w:tc>
        <w:tc>
          <w:tcPr>
            <w:tcW w:w="379" w:type="pct"/>
            <w:tcBorders>
              <w:top w:val="nil"/>
              <w:left w:val="nil"/>
              <w:bottom w:val="nil"/>
              <w:right w:val="nil"/>
            </w:tcBorders>
            <w:noWrap/>
            <w:vAlign w:val="center"/>
            <w:hideMark/>
          </w:tcPr>
          <w:p w14:paraId="1F305C71"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73" w:type="pct"/>
            <w:gridSpan w:val="2"/>
            <w:tcBorders>
              <w:top w:val="nil"/>
              <w:left w:val="nil"/>
              <w:bottom w:val="nil"/>
              <w:right w:val="nil"/>
            </w:tcBorders>
            <w:noWrap/>
            <w:vAlign w:val="center"/>
            <w:hideMark/>
          </w:tcPr>
          <w:p w14:paraId="1D570E14"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75" w:type="pct"/>
            <w:tcBorders>
              <w:top w:val="nil"/>
              <w:left w:val="nil"/>
              <w:bottom w:val="nil"/>
              <w:right w:val="nil"/>
            </w:tcBorders>
            <w:noWrap/>
            <w:vAlign w:val="center"/>
            <w:hideMark/>
          </w:tcPr>
          <w:p w14:paraId="2FC3E37E"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3FB1F9F1" w14:textId="77777777" w:rsidTr="00D87550">
        <w:trPr>
          <w:trHeight w:val="255"/>
        </w:trPr>
        <w:tc>
          <w:tcPr>
            <w:tcW w:w="3173" w:type="pct"/>
            <w:gridSpan w:val="3"/>
            <w:tcBorders>
              <w:top w:val="nil"/>
              <w:left w:val="nil"/>
              <w:bottom w:val="nil"/>
              <w:right w:val="nil"/>
            </w:tcBorders>
            <w:noWrap/>
            <w:vAlign w:val="center"/>
            <w:hideMark/>
          </w:tcPr>
          <w:p w14:paraId="25B51B06"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RESULTADO FINANCEIRO LÍQUIDO</w:t>
            </w:r>
          </w:p>
        </w:tc>
        <w:tc>
          <w:tcPr>
            <w:tcW w:w="379" w:type="pct"/>
            <w:tcBorders>
              <w:top w:val="nil"/>
              <w:left w:val="nil"/>
              <w:bottom w:val="nil"/>
              <w:right w:val="nil"/>
            </w:tcBorders>
            <w:noWrap/>
            <w:vAlign w:val="center"/>
            <w:hideMark/>
          </w:tcPr>
          <w:p w14:paraId="2FDA6FB3"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32</w:t>
            </w:r>
          </w:p>
        </w:tc>
        <w:tc>
          <w:tcPr>
            <w:tcW w:w="773" w:type="pct"/>
            <w:gridSpan w:val="2"/>
            <w:tcBorders>
              <w:top w:val="nil"/>
              <w:left w:val="nil"/>
              <w:bottom w:val="nil"/>
              <w:right w:val="nil"/>
            </w:tcBorders>
            <w:noWrap/>
            <w:vAlign w:val="center"/>
            <w:hideMark/>
          </w:tcPr>
          <w:p w14:paraId="69FBFA8B"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2.383.459</w:t>
            </w:r>
          </w:p>
        </w:tc>
        <w:tc>
          <w:tcPr>
            <w:tcW w:w="675" w:type="pct"/>
            <w:tcBorders>
              <w:top w:val="nil"/>
              <w:left w:val="nil"/>
              <w:bottom w:val="nil"/>
              <w:right w:val="nil"/>
            </w:tcBorders>
            <w:noWrap/>
            <w:vAlign w:val="center"/>
            <w:hideMark/>
          </w:tcPr>
          <w:p w14:paraId="02C7A282"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1.244.355</w:t>
            </w:r>
          </w:p>
        </w:tc>
      </w:tr>
      <w:tr w:rsidR="00D87550" w:rsidRPr="00D87550" w14:paraId="6FC2A511" w14:textId="77777777" w:rsidTr="00D87550">
        <w:trPr>
          <w:trHeight w:val="255"/>
        </w:trPr>
        <w:tc>
          <w:tcPr>
            <w:tcW w:w="3173" w:type="pct"/>
            <w:gridSpan w:val="3"/>
            <w:tcBorders>
              <w:top w:val="nil"/>
              <w:left w:val="nil"/>
              <w:bottom w:val="nil"/>
              <w:right w:val="nil"/>
            </w:tcBorders>
            <w:noWrap/>
            <w:vAlign w:val="center"/>
            <w:hideMark/>
          </w:tcPr>
          <w:p w14:paraId="29CE6C8B"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Receitas financeiras</w:t>
            </w:r>
          </w:p>
        </w:tc>
        <w:tc>
          <w:tcPr>
            <w:tcW w:w="379" w:type="pct"/>
            <w:tcBorders>
              <w:top w:val="nil"/>
              <w:left w:val="nil"/>
              <w:bottom w:val="nil"/>
              <w:right w:val="nil"/>
            </w:tcBorders>
            <w:noWrap/>
            <w:vAlign w:val="center"/>
            <w:hideMark/>
          </w:tcPr>
          <w:p w14:paraId="6F26E0BE"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73" w:type="pct"/>
            <w:gridSpan w:val="2"/>
            <w:tcBorders>
              <w:top w:val="nil"/>
              <w:left w:val="nil"/>
              <w:bottom w:val="nil"/>
              <w:right w:val="nil"/>
            </w:tcBorders>
            <w:noWrap/>
            <w:vAlign w:val="center"/>
            <w:hideMark/>
          </w:tcPr>
          <w:p w14:paraId="4188C778"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2.460.275</w:t>
            </w:r>
          </w:p>
        </w:tc>
        <w:tc>
          <w:tcPr>
            <w:tcW w:w="675" w:type="pct"/>
            <w:tcBorders>
              <w:top w:val="nil"/>
              <w:left w:val="nil"/>
              <w:bottom w:val="nil"/>
              <w:right w:val="nil"/>
            </w:tcBorders>
            <w:noWrap/>
            <w:vAlign w:val="center"/>
            <w:hideMark/>
          </w:tcPr>
          <w:p w14:paraId="3759168B"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1.658.217</w:t>
            </w:r>
          </w:p>
        </w:tc>
      </w:tr>
      <w:tr w:rsidR="00D87550" w:rsidRPr="00D87550" w14:paraId="58259EF9" w14:textId="77777777" w:rsidTr="00D87550">
        <w:trPr>
          <w:trHeight w:val="255"/>
        </w:trPr>
        <w:tc>
          <w:tcPr>
            <w:tcW w:w="3173" w:type="pct"/>
            <w:gridSpan w:val="3"/>
            <w:tcBorders>
              <w:top w:val="nil"/>
              <w:left w:val="nil"/>
              <w:bottom w:val="nil"/>
              <w:right w:val="nil"/>
            </w:tcBorders>
            <w:noWrap/>
            <w:vAlign w:val="center"/>
            <w:hideMark/>
          </w:tcPr>
          <w:p w14:paraId="19435D76"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 Despesas financeiras</w:t>
            </w:r>
          </w:p>
        </w:tc>
        <w:tc>
          <w:tcPr>
            <w:tcW w:w="379" w:type="pct"/>
            <w:tcBorders>
              <w:top w:val="nil"/>
              <w:left w:val="nil"/>
              <w:bottom w:val="nil"/>
              <w:right w:val="nil"/>
            </w:tcBorders>
            <w:noWrap/>
            <w:vAlign w:val="center"/>
            <w:hideMark/>
          </w:tcPr>
          <w:p w14:paraId="48653B14"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73" w:type="pct"/>
            <w:gridSpan w:val="2"/>
            <w:tcBorders>
              <w:top w:val="nil"/>
              <w:left w:val="nil"/>
              <w:bottom w:val="nil"/>
              <w:right w:val="nil"/>
            </w:tcBorders>
            <w:noWrap/>
            <w:vAlign w:val="center"/>
            <w:hideMark/>
          </w:tcPr>
          <w:p w14:paraId="6E98457B"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76.816</w:t>
            </w:r>
          </w:p>
        </w:tc>
        <w:tc>
          <w:tcPr>
            <w:tcW w:w="675" w:type="pct"/>
            <w:tcBorders>
              <w:top w:val="nil"/>
              <w:left w:val="nil"/>
              <w:bottom w:val="nil"/>
              <w:right w:val="nil"/>
            </w:tcBorders>
            <w:noWrap/>
            <w:vAlign w:val="center"/>
            <w:hideMark/>
          </w:tcPr>
          <w:p w14:paraId="62AE6A01"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413.862</w:t>
            </w:r>
          </w:p>
        </w:tc>
      </w:tr>
      <w:tr w:rsidR="00D87550" w:rsidRPr="00D87550" w14:paraId="50700B38" w14:textId="77777777" w:rsidTr="00D87550">
        <w:trPr>
          <w:trHeight w:val="255"/>
        </w:trPr>
        <w:tc>
          <w:tcPr>
            <w:tcW w:w="3173" w:type="pct"/>
            <w:gridSpan w:val="3"/>
            <w:tcBorders>
              <w:top w:val="nil"/>
              <w:left w:val="nil"/>
              <w:bottom w:val="nil"/>
              <w:right w:val="nil"/>
            </w:tcBorders>
            <w:noWrap/>
            <w:vAlign w:val="center"/>
            <w:hideMark/>
          </w:tcPr>
          <w:p w14:paraId="3650A4E7"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p>
        </w:tc>
        <w:tc>
          <w:tcPr>
            <w:tcW w:w="379" w:type="pct"/>
            <w:tcBorders>
              <w:top w:val="nil"/>
              <w:left w:val="nil"/>
              <w:bottom w:val="nil"/>
              <w:right w:val="nil"/>
            </w:tcBorders>
            <w:noWrap/>
            <w:vAlign w:val="center"/>
            <w:hideMark/>
          </w:tcPr>
          <w:p w14:paraId="4ED301B7"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73" w:type="pct"/>
            <w:gridSpan w:val="2"/>
            <w:tcBorders>
              <w:top w:val="nil"/>
              <w:left w:val="nil"/>
              <w:bottom w:val="nil"/>
              <w:right w:val="nil"/>
            </w:tcBorders>
            <w:noWrap/>
            <w:vAlign w:val="center"/>
            <w:hideMark/>
          </w:tcPr>
          <w:p w14:paraId="0FF5B47B"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75" w:type="pct"/>
            <w:tcBorders>
              <w:top w:val="nil"/>
              <w:left w:val="nil"/>
              <w:bottom w:val="nil"/>
              <w:right w:val="nil"/>
            </w:tcBorders>
            <w:noWrap/>
            <w:vAlign w:val="center"/>
            <w:hideMark/>
          </w:tcPr>
          <w:p w14:paraId="601994D8"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66829085" w14:textId="77777777" w:rsidTr="00D87550">
        <w:trPr>
          <w:trHeight w:val="255"/>
        </w:trPr>
        <w:tc>
          <w:tcPr>
            <w:tcW w:w="3173" w:type="pct"/>
            <w:gridSpan w:val="3"/>
            <w:tcBorders>
              <w:top w:val="nil"/>
              <w:left w:val="nil"/>
              <w:bottom w:val="nil"/>
              <w:right w:val="nil"/>
            </w:tcBorders>
            <w:noWrap/>
            <w:vAlign w:val="center"/>
            <w:hideMark/>
          </w:tcPr>
          <w:p w14:paraId="756B3AA2"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OUTRAS RECETAS E DESPESAS</w:t>
            </w:r>
          </w:p>
        </w:tc>
        <w:tc>
          <w:tcPr>
            <w:tcW w:w="379" w:type="pct"/>
            <w:tcBorders>
              <w:top w:val="nil"/>
              <w:left w:val="nil"/>
              <w:bottom w:val="nil"/>
              <w:right w:val="nil"/>
            </w:tcBorders>
            <w:noWrap/>
            <w:vAlign w:val="center"/>
            <w:hideMark/>
          </w:tcPr>
          <w:p w14:paraId="2DB54A25"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33</w:t>
            </w:r>
          </w:p>
        </w:tc>
        <w:tc>
          <w:tcPr>
            <w:tcW w:w="773" w:type="pct"/>
            <w:gridSpan w:val="2"/>
            <w:tcBorders>
              <w:top w:val="nil"/>
              <w:left w:val="nil"/>
              <w:bottom w:val="nil"/>
              <w:right w:val="nil"/>
            </w:tcBorders>
            <w:noWrap/>
            <w:vAlign w:val="center"/>
            <w:hideMark/>
          </w:tcPr>
          <w:p w14:paraId="1EEA397F"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1.088.441</w:t>
            </w:r>
          </w:p>
        </w:tc>
        <w:tc>
          <w:tcPr>
            <w:tcW w:w="675" w:type="pct"/>
            <w:tcBorders>
              <w:top w:val="nil"/>
              <w:left w:val="nil"/>
              <w:bottom w:val="nil"/>
              <w:right w:val="nil"/>
            </w:tcBorders>
            <w:noWrap/>
            <w:vAlign w:val="center"/>
            <w:hideMark/>
          </w:tcPr>
          <w:p w14:paraId="1AAC7EA0"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1.057.466</w:t>
            </w:r>
          </w:p>
        </w:tc>
      </w:tr>
      <w:tr w:rsidR="00D87550" w:rsidRPr="00D87550" w14:paraId="67E2F475" w14:textId="77777777" w:rsidTr="00D87550">
        <w:trPr>
          <w:trHeight w:val="255"/>
        </w:trPr>
        <w:tc>
          <w:tcPr>
            <w:tcW w:w="3173" w:type="pct"/>
            <w:gridSpan w:val="3"/>
            <w:tcBorders>
              <w:top w:val="nil"/>
              <w:left w:val="nil"/>
              <w:bottom w:val="nil"/>
              <w:right w:val="nil"/>
            </w:tcBorders>
            <w:noWrap/>
            <w:vAlign w:val="center"/>
            <w:hideMark/>
          </w:tcPr>
          <w:p w14:paraId="39EF3AB3"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Recuperação de custos e despesas</w:t>
            </w:r>
          </w:p>
        </w:tc>
        <w:tc>
          <w:tcPr>
            <w:tcW w:w="379" w:type="pct"/>
            <w:tcBorders>
              <w:top w:val="nil"/>
              <w:left w:val="nil"/>
              <w:bottom w:val="nil"/>
              <w:right w:val="nil"/>
            </w:tcBorders>
            <w:noWrap/>
            <w:vAlign w:val="center"/>
            <w:hideMark/>
          </w:tcPr>
          <w:p w14:paraId="29ABAC96"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73" w:type="pct"/>
            <w:gridSpan w:val="2"/>
            <w:tcBorders>
              <w:top w:val="nil"/>
              <w:left w:val="nil"/>
              <w:bottom w:val="nil"/>
              <w:right w:val="nil"/>
            </w:tcBorders>
            <w:noWrap/>
            <w:vAlign w:val="center"/>
            <w:hideMark/>
          </w:tcPr>
          <w:p w14:paraId="3A08BBE0"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1.088.439</w:t>
            </w:r>
          </w:p>
        </w:tc>
        <w:tc>
          <w:tcPr>
            <w:tcW w:w="675" w:type="pct"/>
            <w:tcBorders>
              <w:top w:val="nil"/>
              <w:left w:val="nil"/>
              <w:bottom w:val="nil"/>
              <w:right w:val="nil"/>
            </w:tcBorders>
            <w:noWrap/>
            <w:vAlign w:val="center"/>
            <w:hideMark/>
          </w:tcPr>
          <w:p w14:paraId="7C1C61DA"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1.009.361</w:t>
            </w:r>
          </w:p>
        </w:tc>
      </w:tr>
      <w:tr w:rsidR="00D87550" w:rsidRPr="00D87550" w14:paraId="10BC1760" w14:textId="77777777" w:rsidTr="00D87550">
        <w:trPr>
          <w:trHeight w:val="255"/>
        </w:trPr>
        <w:tc>
          <w:tcPr>
            <w:tcW w:w="3173" w:type="pct"/>
            <w:gridSpan w:val="3"/>
            <w:tcBorders>
              <w:top w:val="nil"/>
              <w:left w:val="nil"/>
              <w:bottom w:val="nil"/>
              <w:right w:val="nil"/>
            </w:tcBorders>
            <w:noWrap/>
            <w:vAlign w:val="center"/>
            <w:hideMark/>
          </w:tcPr>
          <w:p w14:paraId="08C92DE9"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Doações recebidas</w:t>
            </w:r>
          </w:p>
        </w:tc>
        <w:tc>
          <w:tcPr>
            <w:tcW w:w="379" w:type="pct"/>
            <w:tcBorders>
              <w:top w:val="nil"/>
              <w:left w:val="nil"/>
              <w:bottom w:val="nil"/>
              <w:right w:val="nil"/>
            </w:tcBorders>
            <w:noWrap/>
            <w:vAlign w:val="center"/>
            <w:hideMark/>
          </w:tcPr>
          <w:p w14:paraId="28F2EB5C"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73" w:type="pct"/>
            <w:gridSpan w:val="2"/>
            <w:tcBorders>
              <w:top w:val="nil"/>
              <w:left w:val="nil"/>
              <w:bottom w:val="nil"/>
              <w:right w:val="nil"/>
            </w:tcBorders>
            <w:noWrap/>
            <w:vAlign w:val="center"/>
            <w:hideMark/>
          </w:tcPr>
          <w:p w14:paraId="0A3BE63E"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3</w:t>
            </w:r>
          </w:p>
        </w:tc>
        <w:tc>
          <w:tcPr>
            <w:tcW w:w="675" w:type="pct"/>
            <w:tcBorders>
              <w:top w:val="nil"/>
              <w:left w:val="nil"/>
              <w:bottom w:val="nil"/>
              <w:right w:val="nil"/>
            </w:tcBorders>
            <w:noWrap/>
            <w:vAlign w:val="center"/>
            <w:hideMark/>
          </w:tcPr>
          <w:p w14:paraId="36FC8661"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48.105</w:t>
            </w:r>
          </w:p>
        </w:tc>
      </w:tr>
      <w:tr w:rsidR="00D87550" w:rsidRPr="00D87550" w14:paraId="692868A9" w14:textId="77777777" w:rsidTr="00D87550">
        <w:trPr>
          <w:trHeight w:val="255"/>
        </w:trPr>
        <w:tc>
          <w:tcPr>
            <w:tcW w:w="3173" w:type="pct"/>
            <w:gridSpan w:val="3"/>
            <w:tcBorders>
              <w:top w:val="nil"/>
              <w:left w:val="nil"/>
              <w:bottom w:val="nil"/>
              <w:right w:val="nil"/>
            </w:tcBorders>
            <w:noWrap/>
            <w:vAlign w:val="center"/>
            <w:hideMark/>
          </w:tcPr>
          <w:p w14:paraId="1AD97314"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p>
        </w:tc>
        <w:tc>
          <w:tcPr>
            <w:tcW w:w="379" w:type="pct"/>
            <w:tcBorders>
              <w:top w:val="nil"/>
              <w:left w:val="nil"/>
              <w:bottom w:val="nil"/>
              <w:right w:val="nil"/>
            </w:tcBorders>
            <w:noWrap/>
            <w:vAlign w:val="center"/>
            <w:hideMark/>
          </w:tcPr>
          <w:p w14:paraId="23207865"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73" w:type="pct"/>
            <w:gridSpan w:val="2"/>
            <w:tcBorders>
              <w:top w:val="nil"/>
              <w:left w:val="nil"/>
              <w:bottom w:val="nil"/>
              <w:right w:val="nil"/>
            </w:tcBorders>
            <w:noWrap/>
            <w:vAlign w:val="center"/>
            <w:hideMark/>
          </w:tcPr>
          <w:p w14:paraId="2FB78206"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75" w:type="pct"/>
            <w:tcBorders>
              <w:top w:val="nil"/>
              <w:left w:val="nil"/>
              <w:bottom w:val="nil"/>
              <w:right w:val="nil"/>
            </w:tcBorders>
            <w:noWrap/>
            <w:vAlign w:val="center"/>
            <w:hideMark/>
          </w:tcPr>
          <w:p w14:paraId="2E03F706"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0AB57CB6" w14:textId="77777777" w:rsidTr="00D87550">
        <w:trPr>
          <w:trHeight w:val="255"/>
        </w:trPr>
        <w:tc>
          <w:tcPr>
            <w:tcW w:w="3173" w:type="pct"/>
            <w:gridSpan w:val="3"/>
            <w:tcBorders>
              <w:top w:val="nil"/>
              <w:left w:val="nil"/>
              <w:bottom w:val="nil"/>
              <w:right w:val="nil"/>
            </w:tcBorders>
            <w:noWrap/>
            <w:vAlign w:val="center"/>
            <w:hideMark/>
          </w:tcPr>
          <w:p w14:paraId="4E44002C"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RESULTADO OPERACIONAL ANTES DO IR E CSLL</w:t>
            </w:r>
          </w:p>
        </w:tc>
        <w:tc>
          <w:tcPr>
            <w:tcW w:w="379" w:type="pct"/>
            <w:tcBorders>
              <w:top w:val="nil"/>
              <w:left w:val="nil"/>
              <w:bottom w:val="nil"/>
              <w:right w:val="nil"/>
            </w:tcBorders>
            <w:noWrap/>
            <w:vAlign w:val="center"/>
            <w:hideMark/>
          </w:tcPr>
          <w:p w14:paraId="21C77D97"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p>
        </w:tc>
        <w:tc>
          <w:tcPr>
            <w:tcW w:w="773" w:type="pct"/>
            <w:gridSpan w:val="2"/>
            <w:tcBorders>
              <w:top w:val="nil"/>
              <w:left w:val="nil"/>
              <w:bottom w:val="nil"/>
              <w:right w:val="nil"/>
            </w:tcBorders>
            <w:noWrap/>
            <w:vAlign w:val="center"/>
            <w:hideMark/>
          </w:tcPr>
          <w:p w14:paraId="7D29C904"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(58.326.712,7)</w:t>
            </w:r>
          </w:p>
        </w:tc>
        <w:tc>
          <w:tcPr>
            <w:tcW w:w="675" w:type="pct"/>
            <w:tcBorders>
              <w:top w:val="nil"/>
              <w:left w:val="nil"/>
              <w:bottom w:val="nil"/>
              <w:right w:val="nil"/>
            </w:tcBorders>
            <w:noWrap/>
            <w:vAlign w:val="center"/>
            <w:hideMark/>
          </w:tcPr>
          <w:p w14:paraId="4711A360"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(59.216.927)</w:t>
            </w:r>
          </w:p>
        </w:tc>
      </w:tr>
      <w:tr w:rsidR="00D87550" w:rsidRPr="00D87550" w14:paraId="03EA4017" w14:textId="77777777" w:rsidTr="00D87550">
        <w:trPr>
          <w:trHeight w:val="255"/>
        </w:trPr>
        <w:tc>
          <w:tcPr>
            <w:tcW w:w="3173" w:type="pct"/>
            <w:gridSpan w:val="3"/>
            <w:tcBorders>
              <w:top w:val="nil"/>
              <w:left w:val="nil"/>
              <w:bottom w:val="nil"/>
              <w:right w:val="nil"/>
            </w:tcBorders>
            <w:noWrap/>
            <w:vAlign w:val="center"/>
            <w:hideMark/>
          </w:tcPr>
          <w:p w14:paraId="6F7DF5A1"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p>
        </w:tc>
        <w:tc>
          <w:tcPr>
            <w:tcW w:w="379" w:type="pct"/>
            <w:tcBorders>
              <w:top w:val="nil"/>
              <w:left w:val="nil"/>
              <w:bottom w:val="nil"/>
              <w:right w:val="nil"/>
            </w:tcBorders>
            <w:noWrap/>
            <w:vAlign w:val="center"/>
            <w:hideMark/>
          </w:tcPr>
          <w:p w14:paraId="4E452570"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73" w:type="pct"/>
            <w:gridSpan w:val="2"/>
            <w:tcBorders>
              <w:top w:val="nil"/>
              <w:left w:val="nil"/>
              <w:bottom w:val="nil"/>
              <w:right w:val="nil"/>
            </w:tcBorders>
            <w:noWrap/>
            <w:vAlign w:val="center"/>
            <w:hideMark/>
          </w:tcPr>
          <w:p w14:paraId="4DBA0E95"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75" w:type="pct"/>
            <w:tcBorders>
              <w:top w:val="nil"/>
              <w:left w:val="nil"/>
              <w:bottom w:val="nil"/>
              <w:right w:val="nil"/>
            </w:tcBorders>
            <w:noWrap/>
            <w:vAlign w:val="center"/>
            <w:hideMark/>
          </w:tcPr>
          <w:p w14:paraId="75CE3C3F"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3550B2ED" w14:textId="77777777" w:rsidTr="00D87550">
        <w:trPr>
          <w:trHeight w:val="255"/>
        </w:trPr>
        <w:tc>
          <w:tcPr>
            <w:tcW w:w="3173" w:type="pct"/>
            <w:gridSpan w:val="3"/>
            <w:tcBorders>
              <w:top w:val="nil"/>
              <w:left w:val="nil"/>
              <w:bottom w:val="nil"/>
              <w:right w:val="nil"/>
            </w:tcBorders>
            <w:noWrap/>
            <w:vAlign w:val="center"/>
            <w:hideMark/>
          </w:tcPr>
          <w:p w14:paraId="4CA967EE"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PROVISÃO PARA O IR E CSLL</w:t>
            </w:r>
          </w:p>
        </w:tc>
        <w:tc>
          <w:tcPr>
            <w:tcW w:w="379" w:type="pct"/>
            <w:tcBorders>
              <w:top w:val="nil"/>
              <w:left w:val="nil"/>
              <w:bottom w:val="nil"/>
              <w:right w:val="nil"/>
            </w:tcBorders>
            <w:noWrap/>
            <w:vAlign w:val="center"/>
            <w:hideMark/>
          </w:tcPr>
          <w:p w14:paraId="1A04EA6F"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p>
        </w:tc>
        <w:tc>
          <w:tcPr>
            <w:tcW w:w="773" w:type="pct"/>
            <w:gridSpan w:val="2"/>
            <w:tcBorders>
              <w:top w:val="nil"/>
              <w:left w:val="nil"/>
              <w:bottom w:val="nil"/>
              <w:right w:val="nil"/>
            </w:tcBorders>
            <w:noWrap/>
            <w:vAlign w:val="center"/>
            <w:hideMark/>
          </w:tcPr>
          <w:p w14:paraId="49A2570D"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0</w:t>
            </w:r>
          </w:p>
        </w:tc>
        <w:tc>
          <w:tcPr>
            <w:tcW w:w="675" w:type="pct"/>
            <w:tcBorders>
              <w:top w:val="nil"/>
              <w:left w:val="nil"/>
              <w:bottom w:val="nil"/>
              <w:right w:val="nil"/>
            </w:tcBorders>
            <w:noWrap/>
            <w:vAlign w:val="center"/>
            <w:hideMark/>
          </w:tcPr>
          <w:p w14:paraId="73F2666F"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0</w:t>
            </w:r>
          </w:p>
        </w:tc>
      </w:tr>
      <w:tr w:rsidR="00D87550" w:rsidRPr="00D87550" w14:paraId="2D6A8E25" w14:textId="77777777" w:rsidTr="00D87550">
        <w:trPr>
          <w:trHeight w:val="255"/>
        </w:trPr>
        <w:tc>
          <w:tcPr>
            <w:tcW w:w="3173" w:type="pct"/>
            <w:gridSpan w:val="3"/>
            <w:tcBorders>
              <w:top w:val="nil"/>
              <w:left w:val="nil"/>
              <w:bottom w:val="nil"/>
              <w:right w:val="nil"/>
            </w:tcBorders>
            <w:noWrap/>
            <w:vAlign w:val="center"/>
            <w:hideMark/>
          </w:tcPr>
          <w:p w14:paraId="73ECF8A6"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Provisão para o IRPJ</w:t>
            </w:r>
          </w:p>
        </w:tc>
        <w:tc>
          <w:tcPr>
            <w:tcW w:w="379" w:type="pct"/>
            <w:tcBorders>
              <w:top w:val="nil"/>
              <w:left w:val="nil"/>
              <w:bottom w:val="nil"/>
              <w:right w:val="nil"/>
            </w:tcBorders>
            <w:noWrap/>
            <w:vAlign w:val="center"/>
            <w:hideMark/>
          </w:tcPr>
          <w:p w14:paraId="650BEE3D"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73" w:type="pct"/>
            <w:gridSpan w:val="2"/>
            <w:tcBorders>
              <w:top w:val="nil"/>
              <w:left w:val="nil"/>
              <w:bottom w:val="nil"/>
              <w:right w:val="nil"/>
            </w:tcBorders>
            <w:noWrap/>
            <w:vAlign w:val="center"/>
            <w:hideMark/>
          </w:tcPr>
          <w:p w14:paraId="15BF96C5"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0</w:t>
            </w:r>
          </w:p>
        </w:tc>
        <w:tc>
          <w:tcPr>
            <w:tcW w:w="675" w:type="pct"/>
            <w:tcBorders>
              <w:top w:val="nil"/>
              <w:left w:val="nil"/>
              <w:bottom w:val="nil"/>
              <w:right w:val="nil"/>
            </w:tcBorders>
            <w:noWrap/>
            <w:vAlign w:val="center"/>
            <w:hideMark/>
          </w:tcPr>
          <w:p w14:paraId="7207B9A9"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0</w:t>
            </w:r>
          </w:p>
        </w:tc>
      </w:tr>
      <w:tr w:rsidR="00D87550" w:rsidRPr="00D87550" w14:paraId="4A7DD4F7" w14:textId="77777777" w:rsidTr="00D87550">
        <w:trPr>
          <w:trHeight w:val="255"/>
        </w:trPr>
        <w:tc>
          <w:tcPr>
            <w:tcW w:w="3173" w:type="pct"/>
            <w:gridSpan w:val="3"/>
            <w:tcBorders>
              <w:top w:val="nil"/>
              <w:left w:val="nil"/>
              <w:bottom w:val="nil"/>
              <w:right w:val="nil"/>
            </w:tcBorders>
            <w:noWrap/>
            <w:vAlign w:val="center"/>
            <w:hideMark/>
          </w:tcPr>
          <w:p w14:paraId="6BDBDDC2"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        Provisão para a CSLL</w:t>
            </w:r>
          </w:p>
        </w:tc>
        <w:tc>
          <w:tcPr>
            <w:tcW w:w="379" w:type="pct"/>
            <w:tcBorders>
              <w:top w:val="nil"/>
              <w:left w:val="nil"/>
              <w:bottom w:val="nil"/>
              <w:right w:val="nil"/>
            </w:tcBorders>
            <w:noWrap/>
            <w:vAlign w:val="center"/>
            <w:hideMark/>
          </w:tcPr>
          <w:p w14:paraId="6CD73DC8"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73" w:type="pct"/>
            <w:gridSpan w:val="2"/>
            <w:tcBorders>
              <w:top w:val="nil"/>
              <w:left w:val="nil"/>
              <w:bottom w:val="nil"/>
              <w:right w:val="nil"/>
            </w:tcBorders>
            <w:noWrap/>
            <w:vAlign w:val="center"/>
            <w:hideMark/>
          </w:tcPr>
          <w:p w14:paraId="186A077D"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0</w:t>
            </w:r>
          </w:p>
        </w:tc>
        <w:tc>
          <w:tcPr>
            <w:tcW w:w="675" w:type="pct"/>
            <w:tcBorders>
              <w:top w:val="nil"/>
              <w:left w:val="nil"/>
              <w:bottom w:val="nil"/>
              <w:right w:val="nil"/>
            </w:tcBorders>
            <w:noWrap/>
            <w:vAlign w:val="center"/>
            <w:hideMark/>
          </w:tcPr>
          <w:p w14:paraId="36ADF431"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0</w:t>
            </w:r>
          </w:p>
        </w:tc>
      </w:tr>
      <w:tr w:rsidR="00D87550" w:rsidRPr="00D87550" w14:paraId="0AA1B38D" w14:textId="77777777" w:rsidTr="00D87550">
        <w:trPr>
          <w:trHeight w:val="255"/>
        </w:trPr>
        <w:tc>
          <w:tcPr>
            <w:tcW w:w="3173" w:type="pct"/>
            <w:gridSpan w:val="3"/>
            <w:tcBorders>
              <w:top w:val="nil"/>
              <w:left w:val="nil"/>
              <w:bottom w:val="nil"/>
              <w:right w:val="nil"/>
            </w:tcBorders>
            <w:noWrap/>
            <w:vAlign w:val="center"/>
            <w:hideMark/>
          </w:tcPr>
          <w:p w14:paraId="585FE76A"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p>
        </w:tc>
        <w:tc>
          <w:tcPr>
            <w:tcW w:w="379" w:type="pct"/>
            <w:tcBorders>
              <w:top w:val="nil"/>
              <w:left w:val="nil"/>
              <w:bottom w:val="nil"/>
              <w:right w:val="nil"/>
            </w:tcBorders>
            <w:noWrap/>
            <w:vAlign w:val="center"/>
            <w:hideMark/>
          </w:tcPr>
          <w:p w14:paraId="723DA59F"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73" w:type="pct"/>
            <w:gridSpan w:val="2"/>
            <w:tcBorders>
              <w:top w:val="nil"/>
              <w:left w:val="nil"/>
              <w:bottom w:val="nil"/>
              <w:right w:val="nil"/>
            </w:tcBorders>
            <w:noWrap/>
            <w:vAlign w:val="center"/>
            <w:hideMark/>
          </w:tcPr>
          <w:p w14:paraId="4207B5FB"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75" w:type="pct"/>
            <w:tcBorders>
              <w:top w:val="nil"/>
              <w:left w:val="nil"/>
              <w:bottom w:val="nil"/>
              <w:right w:val="nil"/>
            </w:tcBorders>
            <w:noWrap/>
            <w:vAlign w:val="center"/>
            <w:hideMark/>
          </w:tcPr>
          <w:p w14:paraId="3CDD2358"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0BB13634" w14:textId="77777777" w:rsidTr="00D87550">
        <w:trPr>
          <w:trHeight w:val="255"/>
        </w:trPr>
        <w:tc>
          <w:tcPr>
            <w:tcW w:w="3173" w:type="pct"/>
            <w:gridSpan w:val="3"/>
            <w:tcBorders>
              <w:top w:val="single" w:sz="4" w:space="0" w:color="auto"/>
              <w:left w:val="nil"/>
              <w:bottom w:val="single" w:sz="4" w:space="0" w:color="auto"/>
              <w:right w:val="nil"/>
            </w:tcBorders>
            <w:shd w:val="clear" w:color="000000" w:fill="BFBFBF"/>
            <w:noWrap/>
            <w:vAlign w:val="center"/>
            <w:hideMark/>
          </w:tcPr>
          <w:p w14:paraId="7871CDC2"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RESULTADO LÍQUIDO DO EXERCÍCIO</w:t>
            </w:r>
          </w:p>
        </w:tc>
        <w:tc>
          <w:tcPr>
            <w:tcW w:w="379" w:type="pct"/>
            <w:tcBorders>
              <w:top w:val="single" w:sz="4" w:space="0" w:color="auto"/>
              <w:left w:val="nil"/>
              <w:bottom w:val="single" w:sz="4" w:space="0" w:color="auto"/>
              <w:right w:val="nil"/>
            </w:tcBorders>
            <w:shd w:val="clear" w:color="000000" w:fill="BFBFBF"/>
            <w:noWrap/>
            <w:vAlign w:val="center"/>
            <w:hideMark/>
          </w:tcPr>
          <w:p w14:paraId="40EF8BC1"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w:t>
            </w:r>
          </w:p>
        </w:tc>
        <w:tc>
          <w:tcPr>
            <w:tcW w:w="773" w:type="pct"/>
            <w:gridSpan w:val="2"/>
            <w:tcBorders>
              <w:top w:val="single" w:sz="4" w:space="0" w:color="auto"/>
              <w:left w:val="nil"/>
              <w:bottom w:val="single" w:sz="4" w:space="0" w:color="auto"/>
              <w:right w:val="nil"/>
            </w:tcBorders>
            <w:shd w:val="clear" w:color="000000" w:fill="BFBFBF"/>
            <w:noWrap/>
            <w:vAlign w:val="center"/>
            <w:hideMark/>
          </w:tcPr>
          <w:p w14:paraId="40D143C1"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-58.326.713</w:t>
            </w:r>
          </w:p>
        </w:tc>
        <w:tc>
          <w:tcPr>
            <w:tcW w:w="675" w:type="pct"/>
            <w:tcBorders>
              <w:top w:val="single" w:sz="4" w:space="0" w:color="auto"/>
              <w:left w:val="nil"/>
              <w:bottom w:val="single" w:sz="4" w:space="0" w:color="auto"/>
              <w:right w:val="nil"/>
            </w:tcBorders>
            <w:shd w:val="clear" w:color="000000" w:fill="BFBFBF"/>
            <w:noWrap/>
            <w:vAlign w:val="center"/>
            <w:hideMark/>
          </w:tcPr>
          <w:p w14:paraId="37211862"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-59.216.927</w:t>
            </w:r>
          </w:p>
        </w:tc>
      </w:tr>
      <w:tr w:rsidR="00D87550" w:rsidRPr="00D87550" w14:paraId="1C6752A8" w14:textId="77777777" w:rsidTr="00D87550">
        <w:trPr>
          <w:trHeight w:val="255"/>
        </w:trPr>
        <w:tc>
          <w:tcPr>
            <w:tcW w:w="3173" w:type="pct"/>
            <w:gridSpan w:val="3"/>
            <w:tcBorders>
              <w:top w:val="nil"/>
              <w:left w:val="nil"/>
              <w:bottom w:val="nil"/>
              <w:right w:val="nil"/>
            </w:tcBorders>
            <w:noWrap/>
            <w:vAlign w:val="center"/>
            <w:hideMark/>
          </w:tcPr>
          <w:p w14:paraId="28793120"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p>
        </w:tc>
        <w:tc>
          <w:tcPr>
            <w:tcW w:w="379" w:type="pct"/>
            <w:tcBorders>
              <w:top w:val="nil"/>
              <w:left w:val="nil"/>
              <w:bottom w:val="nil"/>
              <w:right w:val="nil"/>
            </w:tcBorders>
            <w:noWrap/>
            <w:vAlign w:val="center"/>
            <w:hideMark/>
          </w:tcPr>
          <w:p w14:paraId="4C5E4FFF"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73" w:type="pct"/>
            <w:gridSpan w:val="2"/>
            <w:tcBorders>
              <w:top w:val="nil"/>
              <w:left w:val="nil"/>
              <w:bottom w:val="nil"/>
              <w:right w:val="nil"/>
            </w:tcBorders>
            <w:noWrap/>
            <w:vAlign w:val="center"/>
            <w:hideMark/>
          </w:tcPr>
          <w:p w14:paraId="592FCC64"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75" w:type="pct"/>
            <w:tcBorders>
              <w:top w:val="nil"/>
              <w:left w:val="nil"/>
              <w:bottom w:val="nil"/>
              <w:right w:val="nil"/>
            </w:tcBorders>
            <w:noWrap/>
            <w:vAlign w:val="center"/>
            <w:hideMark/>
          </w:tcPr>
          <w:p w14:paraId="19C1019B"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bl>
    <w:p w14:paraId="42DAA51D" w14:textId="77777777" w:rsidR="00D87550" w:rsidRDefault="00D87550">
      <w:r>
        <w:br w:type="page"/>
      </w:r>
    </w:p>
    <w:tbl>
      <w:tblPr>
        <w:tblW w:w="5000" w:type="pct"/>
        <w:tblCellMar>
          <w:left w:w="70" w:type="dxa"/>
          <w:right w:w="70" w:type="dxa"/>
        </w:tblCellMar>
        <w:tblLook w:val="04A0" w:firstRow="1" w:lastRow="0" w:firstColumn="1" w:lastColumn="0" w:noHBand="0" w:noVBand="1"/>
      </w:tblPr>
      <w:tblGrid>
        <w:gridCol w:w="7532"/>
        <w:gridCol w:w="196"/>
        <w:gridCol w:w="196"/>
        <w:gridCol w:w="1271"/>
        <w:gridCol w:w="1271"/>
      </w:tblGrid>
      <w:tr w:rsidR="00D87550" w:rsidRPr="00D87550" w14:paraId="00969ED2" w14:textId="77777777" w:rsidTr="00D87550">
        <w:trPr>
          <w:trHeight w:val="255"/>
        </w:trPr>
        <w:tc>
          <w:tcPr>
            <w:tcW w:w="5000" w:type="pct"/>
            <w:gridSpan w:val="5"/>
            <w:tcBorders>
              <w:top w:val="nil"/>
              <w:left w:val="nil"/>
              <w:bottom w:val="nil"/>
              <w:right w:val="nil"/>
            </w:tcBorders>
            <w:noWrap/>
            <w:vAlign w:val="center"/>
            <w:hideMark/>
          </w:tcPr>
          <w:p w14:paraId="58FD1835"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lastRenderedPageBreak/>
              <w:t>DEMONSTRAÇÃO DO FLUXO DE CAIXA EM 31.12.2025</w:t>
            </w:r>
          </w:p>
        </w:tc>
      </w:tr>
      <w:tr w:rsidR="00D87550" w:rsidRPr="00D87550" w14:paraId="5EC295F2" w14:textId="77777777" w:rsidTr="00D87550">
        <w:trPr>
          <w:trHeight w:val="255"/>
        </w:trPr>
        <w:tc>
          <w:tcPr>
            <w:tcW w:w="3377" w:type="pct"/>
            <w:tcBorders>
              <w:top w:val="nil"/>
              <w:left w:val="nil"/>
              <w:bottom w:val="nil"/>
              <w:right w:val="nil"/>
            </w:tcBorders>
            <w:noWrap/>
            <w:vAlign w:val="center"/>
            <w:hideMark/>
          </w:tcPr>
          <w:p w14:paraId="2D57918B"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p>
        </w:tc>
        <w:tc>
          <w:tcPr>
            <w:tcW w:w="82" w:type="pct"/>
            <w:tcBorders>
              <w:top w:val="nil"/>
              <w:left w:val="nil"/>
              <w:bottom w:val="nil"/>
              <w:right w:val="nil"/>
            </w:tcBorders>
            <w:noWrap/>
            <w:vAlign w:val="center"/>
            <w:hideMark/>
          </w:tcPr>
          <w:p w14:paraId="13773E44" w14:textId="77777777" w:rsidR="00D87550" w:rsidRPr="00D87550" w:rsidRDefault="00D87550" w:rsidP="00D87550">
            <w:pPr>
              <w:spacing w:after="0" w:line="240" w:lineRule="auto"/>
              <w:jc w:val="center"/>
              <w:rPr>
                <w:rFonts w:ascii="Times New Roman" w:eastAsia="Times New Roman" w:hAnsi="Times New Roman" w:cs="Times New Roman"/>
                <w:sz w:val="20"/>
                <w:szCs w:val="20"/>
                <w:lang w:eastAsia="pt-BR"/>
              </w:rPr>
            </w:pPr>
          </w:p>
        </w:tc>
        <w:tc>
          <w:tcPr>
            <w:tcW w:w="219" w:type="pct"/>
            <w:tcBorders>
              <w:top w:val="nil"/>
              <w:left w:val="nil"/>
              <w:bottom w:val="nil"/>
              <w:right w:val="nil"/>
            </w:tcBorders>
            <w:noWrap/>
            <w:vAlign w:val="center"/>
            <w:hideMark/>
          </w:tcPr>
          <w:p w14:paraId="609C8198" w14:textId="77777777" w:rsidR="00D87550" w:rsidRPr="00D87550" w:rsidRDefault="00D87550" w:rsidP="00D87550">
            <w:pPr>
              <w:spacing w:after="0" w:line="240" w:lineRule="auto"/>
              <w:jc w:val="center"/>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6F247FF7" w14:textId="77777777" w:rsidR="00D87550" w:rsidRPr="00D87550" w:rsidRDefault="00D87550" w:rsidP="00D87550">
            <w:pPr>
              <w:spacing w:after="0" w:line="240" w:lineRule="auto"/>
              <w:jc w:val="center"/>
              <w:rPr>
                <w:rFonts w:ascii="Times New Roman" w:eastAsia="Times New Roman" w:hAnsi="Times New Roman" w:cs="Times New Roman"/>
                <w:sz w:val="20"/>
                <w:szCs w:val="20"/>
                <w:lang w:eastAsia="pt-BR"/>
              </w:rPr>
            </w:pPr>
          </w:p>
        </w:tc>
        <w:tc>
          <w:tcPr>
            <w:tcW w:w="619" w:type="pct"/>
            <w:tcBorders>
              <w:top w:val="nil"/>
              <w:left w:val="nil"/>
              <w:bottom w:val="nil"/>
              <w:right w:val="nil"/>
            </w:tcBorders>
            <w:noWrap/>
            <w:vAlign w:val="center"/>
            <w:hideMark/>
          </w:tcPr>
          <w:p w14:paraId="664E23DC" w14:textId="77777777" w:rsidR="00D87550" w:rsidRPr="00D87550" w:rsidRDefault="00D87550" w:rsidP="00D87550">
            <w:pPr>
              <w:spacing w:after="0" w:line="240" w:lineRule="auto"/>
              <w:jc w:val="center"/>
              <w:rPr>
                <w:rFonts w:ascii="Times New Roman" w:eastAsia="Times New Roman" w:hAnsi="Times New Roman" w:cs="Times New Roman"/>
                <w:sz w:val="20"/>
                <w:szCs w:val="20"/>
                <w:lang w:eastAsia="pt-BR"/>
              </w:rPr>
            </w:pPr>
          </w:p>
        </w:tc>
      </w:tr>
      <w:tr w:rsidR="00D87550" w:rsidRPr="00D87550" w14:paraId="0B83EE7A" w14:textId="77777777" w:rsidTr="00D87550">
        <w:trPr>
          <w:trHeight w:val="255"/>
        </w:trPr>
        <w:tc>
          <w:tcPr>
            <w:tcW w:w="3377" w:type="pct"/>
            <w:tcBorders>
              <w:top w:val="nil"/>
              <w:left w:val="nil"/>
              <w:bottom w:val="nil"/>
              <w:right w:val="nil"/>
            </w:tcBorders>
            <w:noWrap/>
            <w:vAlign w:val="center"/>
            <w:hideMark/>
          </w:tcPr>
          <w:p w14:paraId="69FF5BC0" w14:textId="77777777" w:rsidR="00D87550" w:rsidRPr="00D87550" w:rsidRDefault="00D87550" w:rsidP="00D87550">
            <w:pPr>
              <w:spacing w:after="0" w:line="240" w:lineRule="auto"/>
              <w:jc w:val="center"/>
              <w:rPr>
                <w:rFonts w:ascii="Times New Roman" w:eastAsia="Times New Roman" w:hAnsi="Times New Roman" w:cs="Times New Roman"/>
                <w:sz w:val="20"/>
                <w:szCs w:val="20"/>
                <w:lang w:eastAsia="pt-BR"/>
              </w:rPr>
            </w:pPr>
          </w:p>
        </w:tc>
        <w:tc>
          <w:tcPr>
            <w:tcW w:w="82" w:type="pct"/>
            <w:tcBorders>
              <w:top w:val="nil"/>
              <w:left w:val="nil"/>
              <w:bottom w:val="nil"/>
              <w:right w:val="nil"/>
            </w:tcBorders>
            <w:noWrap/>
            <w:vAlign w:val="center"/>
            <w:hideMark/>
          </w:tcPr>
          <w:p w14:paraId="046FB1BD" w14:textId="77777777" w:rsidR="00D87550" w:rsidRPr="00D87550" w:rsidRDefault="00D87550" w:rsidP="00D87550">
            <w:pPr>
              <w:spacing w:after="0" w:line="240" w:lineRule="auto"/>
              <w:jc w:val="center"/>
              <w:rPr>
                <w:rFonts w:ascii="Times New Roman" w:eastAsia="Times New Roman" w:hAnsi="Times New Roman" w:cs="Times New Roman"/>
                <w:sz w:val="20"/>
                <w:szCs w:val="20"/>
                <w:lang w:eastAsia="pt-BR"/>
              </w:rPr>
            </w:pPr>
          </w:p>
        </w:tc>
        <w:tc>
          <w:tcPr>
            <w:tcW w:w="219" w:type="pct"/>
            <w:tcBorders>
              <w:top w:val="nil"/>
              <w:left w:val="nil"/>
              <w:bottom w:val="nil"/>
              <w:right w:val="nil"/>
            </w:tcBorders>
            <w:noWrap/>
            <w:vAlign w:val="center"/>
            <w:hideMark/>
          </w:tcPr>
          <w:p w14:paraId="4C026318" w14:textId="77777777" w:rsidR="00D87550" w:rsidRPr="00D87550" w:rsidRDefault="00D87550" w:rsidP="00D87550">
            <w:pPr>
              <w:spacing w:after="0" w:line="240" w:lineRule="auto"/>
              <w:jc w:val="center"/>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12A07BD8" w14:textId="77777777" w:rsidR="00D87550" w:rsidRPr="00D87550" w:rsidRDefault="00D87550" w:rsidP="00D87550">
            <w:pPr>
              <w:spacing w:after="0" w:line="240" w:lineRule="auto"/>
              <w:jc w:val="center"/>
              <w:rPr>
                <w:rFonts w:ascii="Times New Roman" w:eastAsia="Times New Roman" w:hAnsi="Times New Roman" w:cs="Times New Roman"/>
                <w:sz w:val="20"/>
                <w:szCs w:val="20"/>
                <w:lang w:eastAsia="pt-BR"/>
              </w:rPr>
            </w:pPr>
          </w:p>
        </w:tc>
        <w:tc>
          <w:tcPr>
            <w:tcW w:w="619" w:type="pct"/>
            <w:tcBorders>
              <w:top w:val="nil"/>
              <w:left w:val="nil"/>
              <w:bottom w:val="nil"/>
              <w:right w:val="nil"/>
            </w:tcBorders>
            <w:noWrap/>
            <w:vAlign w:val="center"/>
            <w:hideMark/>
          </w:tcPr>
          <w:p w14:paraId="31BBC511" w14:textId="77777777" w:rsidR="00D87550" w:rsidRPr="00D87550" w:rsidRDefault="00D87550" w:rsidP="00D87550">
            <w:pPr>
              <w:spacing w:after="0" w:line="240" w:lineRule="auto"/>
              <w:jc w:val="center"/>
              <w:rPr>
                <w:rFonts w:ascii="Times New Roman" w:eastAsia="Times New Roman" w:hAnsi="Times New Roman" w:cs="Times New Roman"/>
                <w:sz w:val="20"/>
                <w:szCs w:val="20"/>
                <w:lang w:eastAsia="pt-BR"/>
              </w:rPr>
            </w:pPr>
          </w:p>
        </w:tc>
      </w:tr>
      <w:tr w:rsidR="00D87550" w:rsidRPr="00D87550" w14:paraId="3A42B5F9" w14:textId="77777777" w:rsidTr="00D87550">
        <w:trPr>
          <w:trHeight w:val="255"/>
        </w:trPr>
        <w:tc>
          <w:tcPr>
            <w:tcW w:w="3377" w:type="pct"/>
            <w:tcBorders>
              <w:top w:val="nil"/>
              <w:left w:val="nil"/>
              <w:bottom w:val="nil"/>
              <w:right w:val="nil"/>
            </w:tcBorders>
            <w:noWrap/>
            <w:vAlign w:val="center"/>
            <w:hideMark/>
          </w:tcPr>
          <w:p w14:paraId="5F6074DE" w14:textId="77777777" w:rsidR="00D87550" w:rsidRPr="00D87550" w:rsidRDefault="00D87550" w:rsidP="00D87550">
            <w:pPr>
              <w:spacing w:after="0" w:line="240" w:lineRule="auto"/>
              <w:jc w:val="center"/>
              <w:rPr>
                <w:rFonts w:ascii="Times New Roman" w:eastAsia="Times New Roman" w:hAnsi="Times New Roman" w:cs="Times New Roman"/>
                <w:sz w:val="20"/>
                <w:szCs w:val="20"/>
                <w:lang w:eastAsia="pt-BR"/>
              </w:rPr>
            </w:pPr>
          </w:p>
        </w:tc>
        <w:tc>
          <w:tcPr>
            <w:tcW w:w="82" w:type="pct"/>
            <w:tcBorders>
              <w:top w:val="nil"/>
              <w:left w:val="nil"/>
              <w:bottom w:val="nil"/>
              <w:right w:val="nil"/>
            </w:tcBorders>
            <w:noWrap/>
            <w:vAlign w:val="center"/>
            <w:hideMark/>
          </w:tcPr>
          <w:p w14:paraId="12704B7B" w14:textId="77777777" w:rsidR="00D87550" w:rsidRPr="00D87550" w:rsidRDefault="00D87550" w:rsidP="00D87550">
            <w:pPr>
              <w:spacing w:after="0" w:line="240" w:lineRule="auto"/>
              <w:jc w:val="center"/>
              <w:rPr>
                <w:rFonts w:ascii="Times New Roman" w:eastAsia="Times New Roman" w:hAnsi="Times New Roman" w:cs="Times New Roman"/>
                <w:sz w:val="20"/>
                <w:szCs w:val="20"/>
                <w:lang w:eastAsia="pt-BR"/>
              </w:rPr>
            </w:pPr>
          </w:p>
        </w:tc>
        <w:tc>
          <w:tcPr>
            <w:tcW w:w="219" w:type="pct"/>
            <w:tcBorders>
              <w:top w:val="nil"/>
              <w:left w:val="nil"/>
              <w:bottom w:val="nil"/>
              <w:right w:val="nil"/>
            </w:tcBorders>
            <w:noWrap/>
            <w:vAlign w:val="center"/>
            <w:hideMark/>
          </w:tcPr>
          <w:p w14:paraId="790C778F" w14:textId="77777777" w:rsidR="00D87550" w:rsidRPr="00D87550" w:rsidRDefault="00D87550" w:rsidP="00D87550">
            <w:pPr>
              <w:spacing w:after="0" w:line="240" w:lineRule="auto"/>
              <w:jc w:val="center"/>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6E53ACE5" w14:textId="77777777" w:rsidR="00D87550" w:rsidRPr="00D87550" w:rsidRDefault="00D87550" w:rsidP="00D87550">
            <w:pPr>
              <w:spacing w:after="0" w:line="240" w:lineRule="auto"/>
              <w:jc w:val="center"/>
              <w:rPr>
                <w:rFonts w:ascii="Times New Roman" w:eastAsia="Times New Roman" w:hAnsi="Times New Roman" w:cs="Times New Roman"/>
                <w:sz w:val="20"/>
                <w:szCs w:val="20"/>
                <w:lang w:eastAsia="pt-BR"/>
              </w:rPr>
            </w:pPr>
          </w:p>
        </w:tc>
        <w:tc>
          <w:tcPr>
            <w:tcW w:w="619" w:type="pct"/>
            <w:tcBorders>
              <w:top w:val="nil"/>
              <w:left w:val="nil"/>
              <w:bottom w:val="nil"/>
              <w:right w:val="nil"/>
            </w:tcBorders>
            <w:noWrap/>
            <w:vAlign w:val="center"/>
            <w:hideMark/>
          </w:tcPr>
          <w:p w14:paraId="1B1CC873" w14:textId="77777777" w:rsidR="00D87550" w:rsidRPr="00D87550" w:rsidRDefault="00D87550" w:rsidP="00D87550">
            <w:pPr>
              <w:spacing w:after="0" w:line="240" w:lineRule="auto"/>
              <w:jc w:val="center"/>
              <w:rPr>
                <w:rFonts w:ascii="Times New Roman" w:eastAsia="Times New Roman" w:hAnsi="Times New Roman" w:cs="Times New Roman"/>
                <w:sz w:val="20"/>
                <w:szCs w:val="20"/>
                <w:lang w:eastAsia="pt-BR"/>
              </w:rPr>
            </w:pPr>
          </w:p>
        </w:tc>
      </w:tr>
      <w:tr w:rsidR="00D87550" w:rsidRPr="00D87550" w14:paraId="53C91092" w14:textId="77777777" w:rsidTr="00D87550">
        <w:trPr>
          <w:trHeight w:val="255"/>
        </w:trPr>
        <w:tc>
          <w:tcPr>
            <w:tcW w:w="3377" w:type="pct"/>
            <w:tcBorders>
              <w:top w:val="nil"/>
              <w:left w:val="nil"/>
              <w:bottom w:val="nil"/>
              <w:right w:val="nil"/>
            </w:tcBorders>
            <w:noWrap/>
            <w:vAlign w:val="center"/>
            <w:hideMark/>
          </w:tcPr>
          <w:p w14:paraId="2C4BF543"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FLUXO DE CAIXA DAS ATIVIDADES OPERACIONAIS</w:t>
            </w:r>
          </w:p>
        </w:tc>
        <w:tc>
          <w:tcPr>
            <w:tcW w:w="82" w:type="pct"/>
            <w:tcBorders>
              <w:top w:val="nil"/>
              <w:left w:val="nil"/>
              <w:bottom w:val="nil"/>
              <w:right w:val="nil"/>
            </w:tcBorders>
            <w:noWrap/>
            <w:vAlign w:val="center"/>
            <w:hideMark/>
          </w:tcPr>
          <w:p w14:paraId="790CE314"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p>
        </w:tc>
        <w:tc>
          <w:tcPr>
            <w:tcW w:w="219" w:type="pct"/>
            <w:tcBorders>
              <w:top w:val="nil"/>
              <w:left w:val="nil"/>
              <w:bottom w:val="nil"/>
              <w:right w:val="nil"/>
            </w:tcBorders>
            <w:noWrap/>
            <w:vAlign w:val="center"/>
            <w:hideMark/>
          </w:tcPr>
          <w:p w14:paraId="7E706B00"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39C5DF34"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2025</w:t>
            </w:r>
          </w:p>
        </w:tc>
        <w:tc>
          <w:tcPr>
            <w:tcW w:w="619" w:type="pct"/>
            <w:tcBorders>
              <w:top w:val="nil"/>
              <w:left w:val="nil"/>
              <w:bottom w:val="nil"/>
              <w:right w:val="nil"/>
            </w:tcBorders>
            <w:noWrap/>
            <w:vAlign w:val="center"/>
            <w:hideMark/>
          </w:tcPr>
          <w:p w14:paraId="77109FA2"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2024</w:t>
            </w:r>
          </w:p>
        </w:tc>
      </w:tr>
      <w:tr w:rsidR="00D87550" w:rsidRPr="00D87550" w14:paraId="78C036DC" w14:textId="77777777" w:rsidTr="00D87550">
        <w:trPr>
          <w:trHeight w:val="255"/>
        </w:trPr>
        <w:tc>
          <w:tcPr>
            <w:tcW w:w="3377" w:type="pct"/>
            <w:tcBorders>
              <w:top w:val="nil"/>
              <w:left w:val="nil"/>
              <w:bottom w:val="nil"/>
              <w:right w:val="nil"/>
            </w:tcBorders>
            <w:noWrap/>
            <w:vAlign w:val="center"/>
            <w:hideMark/>
          </w:tcPr>
          <w:p w14:paraId="638DA1A8"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p>
        </w:tc>
        <w:tc>
          <w:tcPr>
            <w:tcW w:w="82" w:type="pct"/>
            <w:tcBorders>
              <w:top w:val="nil"/>
              <w:left w:val="nil"/>
              <w:bottom w:val="nil"/>
              <w:right w:val="nil"/>
            </w:tcBorders>
            <w:noWrap/>
            <w:vAlign w:val="center"/>
            <w:hideMark/>
          </w:tcPr>
          <w:p w14:paraId="4B7F8418"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219" w:type="pct"/>
            <w:tcBorders>
              <w:top w:val="nil"/>
              <w:left w:val="nil"/>
              <w:bottom w:val="nil"/>
              <w:right w:val="nil"/>
            </w:tcBorders>
            <w:noWrap/>
            <w:vAlign w:val="center"/>
            <w:hideMark/>
          </w:tcPr>
          <w:p w14:paraId="75FB734B"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4A82F7A3"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19" w:type="pct"/>
            <w:tcBorders>
              <w:top w:val="nil"/>
              <w:left w:val="nil"/>
              <w:bottom w:val="nil"/>
              <w:right w:val="nil"/>
            </w:tcBorders>
            <w:noWrap/>
            <w:vAlign w:val="center"/>
            <w:hideMark/>
          </w:tcPr>
          <w:p w14:paraId="1D62F791"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77D539F5" w14:textId="77777777" w:rsidTr="00D87550">
        <w:trPr>
          <w:trHeight w:val="255"/>
        </w:trPr>
        <w:tc>
          <w:tcPr>
            <w:tcW w:w="3377" w:type="pct"/>
            <w:tcBorders>
              <w:top w:val="nil"/>
              <w:left w:val="nil"/>
              <w:bottom w:val="nil"/>
              <w:right w:val="nil"/>
            </w:tcBorders>
            <w:noWrap/>
            <w:vAlign w:val="center"/>
            <w:hideMark/>
          </w:tcPr>
          <w:p w14:paraId="0105972D"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82" w:type="pct"/>
            <w:tcBorders>
              <w:top w:val="nil"/>
              <w:left w:val="nil"/>
              <w:bottom w:val="nil"/>
              <w:right w:val="nil"/>
            </w:tcBorders>
            <w:noWrap/>
            <w:vAlign w:val="center"/>
            <w:hideMark/>
          </w:tcPr>
          <w:p w14:paraId="4E855990"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219" w:type="pct"/>
            <w:tcBorders>
              <w:top w:val="nil"/>
              <w:left w:val="nil"/>
              <w:bottom w:val="nil"/>
              <w:right w:val="nil"/>
            </w:tcBorders>
            <w:noWrap/>
            <w:vAlign w:val="center"/>
            <w:hideMark/>
          </w:tcPr>
          <w:p w14:paraId="6CC9B656"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1165026C"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19" w:type="pct"/>
            <w:tcBorders>
              <w:top w:val="nil"/>
              <w:left w:val="nil"/>
              <w:bottom w:val="nil"/>
              <w:right w:val="nil"/>
            </w:tcBorders>
            <w:noWrap/>
            <w:vAlign w:val="center"/>
            <w:hideMark/>
          </w:tcPr>
          <w:p w14:paraId="6B1AA267"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3A8FE5AD" w14:textId="77777777" w:rsidTr="00D87550">
        <w:trPr>
          <w:trHeight w:val="255"/>
        </w:trPr>
        <w:tc>
          <w:tcPr>
            <w:tcW w:w="3377" w:type="pct"/>
            <w:tcBorders>
              <w:top w:val="nil"/>
              <w:left w:val="nil"/>
              <w:bottom w:val="nil"/>
              <w:right w:val="nil"/>
            </w:tcBorders>
            <w:noWrap/>
            <w:vAlign w:val="center"/>
            <w:hideMark/>
          </w:tcPr>
          <w:p w14:paraId="4A1D659D"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Recebimento de mutuários, vendas de áreas e locações</w:t>
            </w:r>
          </w:p>
        </w:tc>
        <w:tc>
          <w:tcPr>
            <w:tcW w:w="82" w:type="pct"/>
            <w:tcBorders>
              <w:top w:val="nil"/>
              <w:left w:val="nil"/>
              <w:bottom w:val="nil"/>
              <w:right w:val="nil"/>
            </w:tcBorders>
            <w:noWrap/>
            <w:vAlign w:val="center"/>
            <w:hideMark/>
          </w:tcPr>
          <w:p w14:paraId="64D00A61"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1C2B1CFB"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3D0398AF"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863.696 </w:t>
            </w:r>
          </w:p>
        </w:tc>
        <w:tc>
          <w:tcPr>
            <w:tcW w:w="619" w:type="pct"/>
            <w:tcBorders>
              <w:top w:val="nil"/>
              <w:left w:val="nil"/>
              <w:bottom w:val="nil"/>
              <w:right w:val="nil"/>
            </w:tcBorders>
            <w:noWrap/>
            <w:vAlign w:val="center"/>
            <w:hideMark/>
          </w:tcPr>
          <w:p w14:paraId="4E0540B3"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 xml:space="preserve">1.197.933 </w:t>
            </w:r>
          </w:p>
        </w:tc>
      </w:tr>
      <w:tr w:rsidR="00D87550" w:rsidRPr="00D87550" w14:paraId="23E37B19" w14:textId="77777777" w:rsidTr="00D87550">
        <w:trPr>
          <w:trHeight w:val="255"/>
        </w:trPr>
        <w:tc>
          <w:tcPr>
            <w:tcW w:w="3377" w:type="pct"/>
            <w:tcBorders>
              <w:top w:val="nil"/>
              <w:left w:val="nil"/>
              <w:bottom w:val="nil"/>
              <w:right w:val="nil"/>
            </w:tcBorders>
            <w:noWrap/>
            <w:vAlign w:val="center"/>
            <w:hideMark/>
          </w:tcPr>
          <w:p w14:paraId="3D6ADEBC"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Créditos por prestação de serviços e repasses a terceiros</w:t>
            </w:r>
          </w:p>
        </w:tc>
        <w:tc>
          <w:tcPr>
            <w:tcW w:w="82" w:type="pct"/>
            <w:tcBorders>
              <w:top w:val="nil"/>
              <w:left w:val="nil"/>
              <w:bottom w:val="nil"/>
              <w:right w:val="nil"/>
            </w:tcBorders>
            <w:noWrap/>
            <w:vAlign w:val="center"/>
            <w:hideMark/>
          </w:tcPr>
          <w:p w14:paraId="47EFB7AD"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52663878"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36913E84"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4.743.424 </w:t>
            </w:r>
          </w:p>
        </w:tc>
        <w:tc>
          <w:tcPr>
            <w:tcW w:w="619" w:type="pct"/>
            <w:tcBorders>
              <w:top w:val="nil"/>
              <w:left w:val="nil"/>
              <w:bottom w:val="nil"/>
              <w:right w:val="nil"/>
            </w:tcBorders>
            <w:noWrap/>
            <w:vAlign w:val="center"/>
            <w:hideMark/>
          </w:tcPr>
          <w:p w14:paraId="7D182F82"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 xml:space="preserve">2.579.157 </w:t>
            </w:r>
          </w:p>
        </w:tc>
      </w:tr>
      <w:tr w:rsidR="00D87550" w:rsidRPr="00D87550" w14:paraId="756DABC8" w14:textId="77777777" w:rsidTr="00D87550">
        <w:trPr>
          <w:trHeight w:val="255"/>
        </w:trPr>
        <w:tc>
          <w:tcPr>
            <w:tcW w:w="3377" w:type="pct"/>
            <w:tcBorders>
              <w:top w:val="nil"/>
              <w:left w:val="nil"/>
              <w:bottom w:val="nil"/>
              <w:right w:val="nil"/>
            </w:tcBorders>
            <w:noWrap/>
            <w:vAlign w:val="center"/>
            <w:hideMark/>
          </w:tcPr>
          <w:p w14:paraId="68F64512"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Rendimento de aplicações e outras receitas financeiras</w:t>
            </w:r>
          </w:p>
        </w:tc>
        <w:tc>
          <w:tcPr>
            <w:tcW w:w="82" w:type="pct"/>
            <w:tcBorders>
              <w:top w:val="nil"/>
              <w:left w:val="nil"/>
              <w:bottom w:val="nil"/>
              <w:right w:val="nil"/>
            </w:tcBorders>
            <w:noWrap/>
            <w:vAlign w:val="center"/>
            <w:hideMark/>
          </w:tcPr>
          <w:p w14:paraId="4AC4BF52"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78EC8953"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255D1B82"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2.460.275 </w:t>
            </w:r>
          </w:p>
        </w:tc>
        <w:tc>
          <w:tcPr>
            <w:tcW w:w="619" w:type="pct"/>
            <w:tcBorders>
              <w:top w:val="nil"/>
              <w:left w:val="nil"/>
              <w:bottom w:val="nil"/>
              <w:right w:val="nil"/>
            </w:tcBorders>
            <w:noWrap/>
            <w:vAlign w:val="center"/>
            <w:hideMark/>
          </w:tcPr>
          <w:p w14:paraId="7FF5027E"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 xml:space="preserve">1.658.217 </w:t>
            </w:r>
          </w:p>
        </w:tc>
      </w:tr>
      <w:tr w:rsidR="00D87550" w:rsidRPr="00D87550" w14:paraId="7CAC216E" w14:textId="77777777" w:rsidTr="00D87550">
        <w:trPr>
          <w:trHeight w:val="255"/>
        </w:trPr>
        <w:tc>
          <w:tcPr>
            <w:tcW w:w="3377" w:type="pct"/>
            <w:tcBorders>
              <w:top w:val="nil"/>
              <w:left w:val="nil"/>
              <w:bottom w:val="nil"/>
              <w:right w:val="nil"/>
            </w:tcBorders>
            <w:noWrap/>
            <w:vAlign w:val="center"/>
            <w:hideMark/>
          </w:tcPr>
          <w:p w14:paraId="0B641C5C"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Ressarcimentos, indenizações e doações</w:t>
            </w:r>
          </w:p>
        </w:tc>
        <w:tc>
          <w:tcPr>
            <w:tcW w:w="82" w:type="pct"/>
            <w:tcBorders>
              <w:top w:val="nil"/>
              <w:left w:val="nil"/>
              <w:bottom w:val="nil"/>
              <w:right w:val="nil"/>
            </w:tcBorders>
            <w:noWrap/>
            <w:vAlign w:val="center"/>
            <w:hideMark/>
          </w:tcPr>
          <w:p w14:paraId="1AA09CE9"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1EB065EC"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7042C8F3"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1.089.810 </w:t>
            </w:r>
          </w:p>
        </w:tc>
        <w:tc>
          <w:tcPr>
            <w:tcW w:w="619" w:type="pct"/>
            <w:tcBorders>
              <w:top w:val="nil"/>
              <w:left w:val="nil"/>
              <w:bottom w:val="nil"/>
              <w:right w:val="nil"/>
            </w:tcBorders>
            <w:noWrap/>
            <w:vAlign w:val="center"/>
            <w:hideMark/>
          </w:tcPr>
          <w:p w14:paraId="4D2417A6"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 xml:space="preserve">1.009.361 </w:t>
            </w:r>
          </w:p>
        </w:tc>
      </w:tr>
      <w:tr w:rsidR="00D87550" w:rsidRPr="00D87550" w14:paraId="0BE700F3" w14:textId="77777777" w:rsidTr="00D87550">
        <w:trPr>
          <w:trHeight w:val="255"/>
        </w:trPr>
        <w:tc>
          <w:tcPr>
            <w:tcW w:w="3377" w:type="pct"/>
            <w:tcBorders>
              <w:top w:val="nil"/>
              <w:left w:val="nil"/>
              <w:bottom w:val="nil"/>
              <w:right w:val="nil"/>
            </w:tcBorders>
            <w:noWrap/>
            <w:vAlign w:val="center"/>
            <w:hideMark/>
          </w:tcPr>
          <w:p w14:paraId="728B68E7"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Restituição de impostos</w:t>
            </w:r>
          </w:p>
        </w:tc>
        <w:tc>
          <w:tcPr>
            <w:tcW w:w="82" w:type="pct"/>
            <w:tcBorders>
              <w:top w:val="nil"/>
              <w:left w:val="nil"/>
              <w:bottom w:val="nil"/>
              <w:right w:val="nil"/>
            </w:tcBorders>
            <w:noWrap/>
            <w:vAlign w:val="center"/>
            <w:hideMark/>
          </w:tcPr>
          <w:p w14:paraId="69444E24"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7C76AE64"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700D2112"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658.004 </w:t>
            </w:r>
          </w:p>
        </w:tc>
        <w:tc>
          <w:tcPr>
            <w:tcW w:w="619" w:type="pct"/>
            <w:tcBorders>
              <w:top w:val="nil"/>
              <w:left w:val="nil"/>
              <w:bottom w:val="nil"/>
              <w:right w:val="nil"/>
            </w:tcBorders>
            <w:noWrap/>
            <w:vAlign w:val="center"/>
            <w:hideMark/>
          </w:tcPr>
          <w:p w14:paraId="42BA9B5C"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p>
        </w:tc>
      </w:tr>
      <w:tr w:rsidR="00D87550" w:rsidRPr="00D87550" w14:paraId="16E8AAB2" w14:textId="77777777" w:rsidTr="00D87550">
        <w:trPr>
          <w:trHeight w:val="255"/>
        </w:trPr>
        <w:tc>
          <w:tcPr>
            <w:tcW w:w="3459" w:type="pct"/>
            <w:gridSpan w:val="2"/>
            <w:tcBorders>
              <w:top w:val="nil"/>
              <w:left w:val="nil"/>
              <w:bottom w:val="nil"/>
              <w:right w:val="nil"/>
            </w:tcBorders>
            <w:noWrap/>
            <w:vAlign w:val="center"/>
            <w:hideMark/>
          </w:tcPr>
          <w:p w14:paraId="381C2CAA"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Estornos de pagamentos a fornecedores e prestadores de serviços e consignatários</w:t>
            </w:r>
          </w:p>
        </w:tc>
        <w:tc>
          <w:tcPr>
            <w:tcW w:w="219" w:type="pct"/>
            <w:tcBorders>
              <w:top w:val="nil"/>
              <w:left w:val="nil"/>
              <w:bottom w:val="nil"/>
              <w:right w:val="nil"/>
            </w:tcBorders>
            <w:noWrap/>
            <w:vAlign w:val="center"/>
            <w:hideMark/>
          </w:tcPr>
          <w:p w14:paraId="2BEA4D0D"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02" w:type="pct"/>
            <w:tcBorders>
              <w:top w:val="nil"/>
              <w:left w:val="nil"/>
              <w:bottom w:val="nil"/>
              <w:right w:val="nil"/>
            </w:tcBorders>
            <w:noWrap/>
            <w:vAlign w:val="center"/>
            <w:hideMark/>
          </w:tcPr>
          <w:p w14:paraId="569AB6A6"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203.146 </w:t>
            </w:r>
          </w:p>
        </w:tc>
        <w:tc>
          <w:tcPr>
            <w:tcW w:w="619" w:type="pct"/>
            <w:tcBorders>
              <w:top w:val="nil"/>
              <w:left w:val="nil"/>
              <w:bottom w:val="nil"/>
              <w:right w:val="nil"/>
            </w:tcBorders>
            <w:noWrap/>
            <w:vAlign w:val="center"/>
            <w:hideMark/>
          </w:tcPr>
          <w:p w14:paraId="085DF0B9"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p>
        </w:tc>
      </w:tr>
      <w:tr w:rsidR="00D87550" w:rsidRPr="00D87550" w14:paraId="19324C1D" w14:textId="77777777" w:rsidTr="00D87550">
        <w:trPr>
          <w:trHeight w:val="255"/>
        </w:trPr>
        <w:tc>
          <w:tcPr>
            <w:tcW w:w="3377" w:type="pct"/>
            <w:tcBorders>
              <w:top w:val="nil"/>
              <w:left w:val="nil"/>
              <w:bottom w:val="nil"/>
              <w:right w:val="nil"/>
            </w:tcBorders>
            <w:noWrap/>
            <w:vAlign w:val="center"/>
            <w:hideMark/>
          </w:tcPr>
          <w:p w14:paraId="76E93F0F"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Recebimentos de cauções</w:t>
            </w:r>
          </w:p>
        </w:tc>
        <w:tc>
          <w:tcPr>
            <w:tcW w:w="82" w:type="pct"/>
            <w:tcBorders>
              <w:top w:val="nil"/>
              <w:left w:val="nil"/>
              <w:bottom w:val="nil"/>
              <w:right w:val="nil"/>
            </w:tcBorders>
            <w:noWrap/>
            <w:vAlign w:val="center"/>
            <w:hideMark/>
          </w:tcPr>
          <w:p w14:paraId="6D251ED4"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441C98EF"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1823F4A6"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0 </w:t>
            </w:r>
          </w:p>
        </w:tc>
        <w:tc>
          <w:tcPr>
            <w:tcW w:w="619" w:type="pct"/>
            <w:tcBorders>
              <w:top w:val="nil"/>
              <w:left w:val="nil"/>
              <w:bottom w:val="nil"/>
              <w:right w:val="nil"/>
            </w:tcBorders>
            <w:noWrap/>
            <w:vAlign w:val="center"/>
            <w:hideMark/>
          </w:tcPr>
          <w:p w14:paraId="366D4664"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 xml:space="preserve">545.000 </w:t>
            </w:r>
          </w:p>
        </w:tc>
      </w:tr>
      <w:tr w:rsidR="00D87550" w:rsidRPr="00D87550" w14:paraId="1E0D30D2" w14:textId="77777777" w:rsidTr="00D87550">
        <w:trPr>
          <w:trHeight w:val="255"/>
        </w:trPr>
        <w:tc>
          <w:tcPr>
            <w:tcW w:w="3377" w:type="pct"/>
            <w:tcBorders>
              <w:top w:val="nil"/>
              <w:left w:val="nil"/>
              <w:bottom w:val="nil"/>
              <w:right w:val="nil"/>
            </w:tcBorders>
            <w:noWrap/>
            <w:vAlign w:val="center"/>
            <w:hideMark/>
          </w:tcPr>
          <w:p w14:paraId="399EA996"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Desbloqueios judiciais</w:t>
            </w:r>
          </w:p>
        </w:tc>
        <w:tc>
          <w:tcPr>
            <w:tcW w:w="82" w:type="pct"/>
            <w:tcBorders>
              <w:top w:val="nil"/>
              <w:left w:val="nil"/>
              <w:bottom w:val="nil"/>
              <w:right w:val="nil"/>
            </w:tcBorders>
            <w:noWrap/>
            <w:vAlign w:val="center"/>
            <w:hideMark/>
          </w:tcPr>
          <w:p w14:paraId="16DCAA0C"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2A745DEF"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4D446FEB"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523.697 </w:t>
            </w:r>
          </w:p>
        </w:tc>
        <w:tc>
          <w:tcPr>
            <w:tcW w:w="619" w:type="pct"/>
            <w:tcBorders>
              <w:top w:val="nil"/>
              <w:left w:val="nil"/>
              <w:bottom w:val="nil"/>
              <w:right w:val="nil"/>
            </w:tcBorders>
            <w:noWrap/>
            <w:vAlign w:val="center"/>
            <w:hideMark/>
          </w:tcPr>
          <w:p w14:paraId="558658E5"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p>
        </w:tc>
      </w:tr>
      <w:tr w:rsidR="00D87550" w:rsidRPr="00D87550" w14:paraId="54F060A6" w14:textId="77777777" w:rsidTr="00D87550">
        <w:trPr>
          <w:trHeight w:val="255"/>
        </w:trPr>
        <w:tc>
          <w:tcPr>
            <w:tcW w:w="3377" w:type="pct"/>
            <w:tcBorders>
              <w:top w:val="nil"/>
              <w:left w:val="nil"/>
              <w:bottom w:val="nil"/>
              <w:right w:val="nil"/>
            </w:tcBorders>
            <w:noWrap/>
            <w:vAlign w:val="center"/>
            <w:hideMark/>
          </w:tcPr>
          <w:p w14:paraId="7B16A3C7"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Recebimentos vinculados a convênios e parcerias público-privadas</w:t>
            </w:r>
          </w:p>
        </w:tc>
        <w:tc>
          <w:tcPr>
            <w:tcW w:w="82" w:type="pct"/>
            <w:tcBorders>
              <w:top w:val="nil"/>
              <w:left w:val="nil"/>
              <w:bottom w:val="nil"/>
              <w:right w:val="nil"/>
            </w:tcBorders>
            <w:noWrap/>
            <w:vAlign w:val="center"/>
            <w:hideMark/>
          </w:tcPr>
          <w:p w14:paraId="2E96120A"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4E3ED024"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5AC3CBFE"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8.095.154 </w:t>
            </w:r>
          </w:p>
        </w:tc>
        <w:tc>
          <w:tcPr>
            <w:tcW w:w="619" w:type="pct"/>
            <w:tcBorders>
              <w:top w:val="nil"/>
              <w:left w:val="nil"/>
              <w:bottom w:val="nil"/>
              <w:right w:val="nil"/>
            </w:tcBorders>
            <w:noWrap/>
            <w:vAlign w:val="center"/>
            <w:hideMark/>
          </w:tcPr>
          <w:p w14:paraId="2475C417"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p>
        </w:tc>
      </w:tr>
      <w:tr w:rsidR="00D87550" w:rsidRPr="00D87550" w14:paraId="6857EBD7" w14:textId="77777777" w:rsidTr="00D87550">
        <w:trPr>
          <w:trHeight w:val="255"/>
        </w:trPr>
        <w:tc>
          <w:tcPr>
            <w:tcW w:w="3377" w:type="pct"/>
            <w:tcBorders>
              <w:top w:val="nil"/>
              <w:left w:val="nil"/>
              <w:bottom w:val="nil"/>
              <w:right w:val="nil"/>
            </w:tcBorders>
            <w:noWrap/>
            <w:vAlign w:val="center"/>
            <w:hideMark/>
          </w:tcPr>
          <w:p w14:paraId="24B8A649"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Pagamento de consignações, fornecedores e outros adiantamentos</w:t>
            </w:r>
          </w:p>
        </w:tc>
        <w:tc>
          <w:tcPr>
            <w:tcW w:w="82" w:type="pct"/>
            <w:tcBorders>
              <w:top w:val="nil"/>
              <w:left w:val="nil"/>
              <w:bottom w:val="nil"/>
              <w:right w:val="nil"/>
            </w:tcBorders>
            <w:noWrap/>
            <w:vAlign w:val="center"/>
            <w:hideMark/>
          </w:tcPr>
          <w:p w14:paraId="5ACFFA29"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77BCE735"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24FEE72C"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FF0000"/>
                <w:sz w:val="20"/>
                <w:szCs w:val="20"/>
                <w:lang w:eastAsia="pt-BR"/>
              </w:rPr>
              <w:t>(20.122.516)</w:t>
            </w:r>
          </w:p>
        </w:tc>
        <w:tc>
          <w:tcPr>
            <w:tcW w:w="619" w:type="pct"/>
            <w:tcBorders>
              <w:top w:val="nil"/>
              <w:left w:val="nil"/>
              <w:bottom w:val="nil"/>
              <w:right w:val="nil"/>
            </w:tcBorders>
            <w:noWrap/>
            <w:vAlign w:val="center"/>
            <w:hideMark/>
          </w:tcPr>
          <w:p w14:paraId="61F753D5"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color w:val="FF0000"/>
                <w:sz w:val="20"/>
                <w:szCs w:val="20"/>
                <w:lang w:eastAsia="pt-BR"/>
              </w:rPr>
              <w:t>(15.045.097)</w:t>
            </w:r>
          </w:p>
        </w:tc>
      </w:tr>
      <w:tr w:rsidR="00D87550" w:rsidRPr="00D87550" w14:paraId="3E06D904" w14:textId="77777777" w:rsidTr="00D87550">
        <w:trPr>
          <w:trHeight w:val="255"/>
        </w:trPr>
        <w:tc>
          <w:tcPr>
            <w:tcW w:w="3377" w:type="pct"/>
            <w:tcBorders>
              <w:top w:val="nil"/>
              <w:left w:val="nil"/>
              <w:bottom w:val="nil"/>
              <w:right w:val="nil"/>
            </w:tcBorders>
            <w:noWrap/>
            <w:vAlign w:val="center"/>
            <w:hideMark/>
          </w:tcPr>
          <w:p w14:paraId="0FFF92AA"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Repasses a conveniados e parceiros público-privados</w:t>
            </w:r>
          </w:p>
        </w:tc>
        <w:tc>
          <w:tcPr>
            <w:tcW w:w="82" w:type="pct"/>
            <w:tcBorders>
              <w:top w:val="nil"/>
              <w:left w:val="nil"/>
              <w:bottom w:val="nil"/>
              <w:right w:val="nil"/>
            </w:tcBorders>
            <w:noWrap/>
            <w:vAlign w:val="center"/>
            <w:hideMark/>
          </w:tcPr>
          <w:p w14:paraId="5AAA4B63"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521B07AE"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72027B92"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FF0000"/>
                <w:sz w:val="20"/>
                <w:szCs w:val="20"/>
                <w:lang w:eastAsia="pt-BR"/>
              </w:rPr>
              <w:t>(5.087.442)</w:t>
            </w:r>
          </w:p>
        </w:tc>
        <w:tc>
          <w:tcPr>
            <w:tcW w:w="619" w:type="pct"/>
            <w:tcBorders>
              <w:top w:val="nil"/>
              <w:left w:val="nil"/>
              <w:bottom w:val="nil"/>
              <w:right w:val="nil"/>
            </w:tcBorders>
            <w:noWrap/>
            <w:vAlign w:val="center"/>
            <w:hideMark/>
          </w:tcPr>
          <w:p w14:paraId="644B7650"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p>
        </w:tc>
      </w:tr>
      <w:tr w:rsidR="00D87550" w:rsidRPr="00D87550" w14:paraId="7A8E0D1F" w14:textId="77777777" w:rsidTr="00D87550">
        <w:trPr>
          <w:trHeight w:val="255"/>
        </w:trPr>
        <w:tc>
          <w:tcPr>
            <w:tcW w:w="3377" w:type="pct"/>
            <w:tcBorders>
              <w:top w:val="nil"/>
              <w:left w:val="nil"/>
              <w:bottom w:val="nil"/>
              <w:right w:val="nil"/>
            </w:tcBorders>
            <w:noWrap/>
            <w:vAlign w:val="center"/>
            <w:hideMark/>
          </w:tcPr>
          <w:p w14:paraId="27C05542"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Pagamento de obrigações relativas a empregados e Conselhos</w:t>
            </w:r>
          </w:p>
        </w:tc>
        <w:tc>
          <w:tcPr>
            <w:tcW w:w="82" w:type="pct"/>
            <w:tcBorders>
              <w:top w:val="nil"/>
              <w:left w:val="nil"/>
              <w:bottom w:val="nil"/>
              <w:right w:val="nil"/>
            </w:tcBorders>
            <w:noWrap/>
            <w:vAlign w:val="center"/>
            <w:hideMark/>
          </w:tcPr>
          <w:p w14:paraId="1893808C"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6DB73DD8"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29CC7025"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FF0000"/>
                <w:sz w:val="20"/>
                <w:szCs w:val="20"/>
                <w:lang w:eastAsia="pt-BR"/>
              </w:rPr>
              <w:t>(26.522.876)</w:t>
            </w:r>
          </w:p>
        </w:tc>
        <w:tc>
          <w:tcPr>
            <w:tcW w:w="619" w:type="pct"/>
            <w:tcBorders>
              <w:top w:val="nil"/>
              <w:left w:val="nil"/>
              <w:bottom w:val="nil"/>
              <w:right w:val="nil"/>
            </w:tcBorders>
            <w:noWrap/>
            <w:vAlign w:val="center"/>
            <w:hideMark/>
          </w:tcPr>
          <w:p w14:paraId="22F70BD7"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color w:val="FF0000"/>
                <w:sz w:val="20"/>
                <w:szCs w:val="20"/>
                <w:lang w:eastAsia="pt-BR"/>
              </w:rPr>
              <w:t>(29.473.733)</w:t>
            </w:r>
          </w:p>
        </w:tc>
      </w:tr>
      <w:tr w:rsidR="00D87550" w:rsidRPr="00D87550" w14:paraId="34BC5905" w14:textId="77777777" w:rsidTr="00D87550">
        <w:trPr>
          <w:trHeight w:val="255"/>
        </w:trPr>
        <w:tc>
          <w:tcPr>
            <w:tcW w:w="3459" w:type="pct"/>
            <w:gridSpan w:val="2"/>
            <w:tcBorders>
              <w:top w:val="nil"/>
              <w:left w:val="nil"/>
              <w:bottom w:val="nil"/>
              <w:right w:val="nil"/>
            </w:tcBorders>
            <w:noWrap/>
            <w:vAlign w:val="center"/>
            <w:hideMark/>
          </w:tcPr>
          <w:p w14:paraId="369A4C2F"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Pagamento de encargos sociais, contribuições, tributos e outras dívidas tributárias</w:t>
            </w:r>
          </w:p>
        </w:tc>
        <w:tc>
          <w:tcPr>
            <w:tcW w:w="219" w:type="pct"/>
            <w:tcBorders>
              <w:top w:val="nil"/>
              <w:left w:val="nil"/>
              <w:bottom w:val="nil"/>
              <w:right w:val="nil"/>
            </w:tcBorders>
            <w:vAlign w:val="center"/>
            <w:hideMark/>
          </w:tcPr>
          <w:p w14:paraId="58696C88"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02" w:type="pct"/>
            <w:tcBorders>
              <w:top w:val="nil"/>
              <w:left w:val="nil"/>
              <w:bottom w:val="nil"/>
              <w:right w:val="nil"/>
            </w:tcBorders>
            <w:vAlign w:val="center"/>
            <w:hideMark/>
          </w:tcPr>
          <w:p w14:paraId="5F7585DB"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FF0000"/>
                <w:sz w:val="20"/>
                <w:szCs w:val="20"/>
                <w:lang w:eastAsia="pt-BR"/>
              </w:rPr>
              <w:t>(20.213.092)</w:t>
            </w:r>
          </w:p>
        </w:tc>
        <w:tc>
          <w:tcPr>
            <w:tcW w:w="619" w:type="pct"/>
            <w:tcBorders>
              <w:top w:val="nil"/>
              <w:left w:val="nil"/>
              <w:bottom w:val="nil"/>
              <w:right w:val="nil"/>
            </w:tcBorders>
            <w:noWrap/>
            <w:vAlign w:val="center"/>
            <w:hideMark/>
          </w:tcPr>
          <w:p w14:paraId="3A9D0457"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color w:val="FF0000"/>
                <w:sz w:val="20"/>
                <w:szCs w:val="20"/>
                <w:lang w:eastAsia="pt-BR"/>
              </w:rPr>
              <w:t>(19.714.755)</w:t>
            </w:r>
          </w:p>
        </w:tc>
      </w:tr>
      <w:tr w:rsidR="00D87550" w:rsidRPr="00D87550" w14:paraId="3831F59F" w14:textId="77777777" w:rsidTr="00D87550">
        <w:trPr>
          <w:trHeight w:val="255"/>
        </w:trPr>
        <w:tc>
          <w:tcPr>
            <w:tcW w:w="3377" w:type="pct"/>
            <w:tcBorders>
              <w:top w:val="nil"/>
              <w:left w:val="nil"/>
              <w:bottom w:val="nil"/>
              <w:right w:val="nil"/>
            </w:tcBorders>
            <w:noWrap/>
            <w:vAlign w:val="center"/>
            <w:hideMark/>
          </w:tcPr>
          <w:p w14:paraId="38AFDF5F"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Pagamento de encargos financeiros e despesas bancárias</w:t>
            </w:r>
          </w:p>
        </w:tc>
        <w:tc>
          <w:tcPr>
            <w:tcW w:w="82" w:type="pct"/>
            <w:tcBorders>
              <w:top w:val="nil"/>
              <w:left w:val="nil"/>
              <w:bottom w:val="nil"/>
              <w:right w:val="nil"/>
            </w:tcBorders>
            <w:noWrap/>
            <w:vAlign w:val="center"/>
            <w:hideMark/>
          </w:tcPr>
          <w:p w14:paraId="4E190F16"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32649516"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57B83B84"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FF0000"/>
                <w:sz w:val="20"/>
                <w:szCs w:val="20"/>
                <w:lang w:eastAsia="pt-BR"/>
              </w:rPr>
              <w:t>(76.816)</w:t>
            </w:r>
          </w:p>
        </w:tc>
        <w:tc>
          <w:tcPr>
            <w:tcW w:w="619" w:type="pct"/>
            <w:tcBorders>
              <w:top w:val="nil"/>
              <w:left w:val="nil"/>
              <w:bottom w:val="nil"/>
              <w:right w:val="nil"/>
            </w:tcBorders>
            <w:noWrap/>
            <w:vAlign w:val="center"/>
            <w:hideMark/>
          </w:tcPr>
          <w:p w14:paraId="51D01E94"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color w:val="FF0000"/>
                <w:sz w:val="20"/>
                <w:szCs w:val="20"/>
                <w:lang w:eastAsia="pt-BR"/>
              </w:rPr>
              <w:t>(413.862)</w:t>
            </w:r>
          </w:p>
        </w:tc>
      </w:tr>
      <w:tr w:rsidR="00D87550" w:rsidRPr="00D87550" w14:paraId="20FA3CA7" w14:textId="77777777" w:rsidTr="00D87550">
        <w:trPr>
          <w:trHeight w:val="255"/>
        </w:trPr>
        <w:tc>
          <w:tcPr>
            <w:tcW w:w="3377" w:type="pct"/>
            <w:tcBorders>
              <w:top w:val="nil"/>
              <w:left w:val="nil"/>
              <w:bottom w:val="nil"/>
              <w:right w:val="nil"/>
            </w:tcBorders>
            <w:noWrap/>
            <w:vAlign w:val="center"/>
            <w:hideMark/>
          </w:tcPr>
          <w:p w14:paraId="6FA8B724"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Devoluções de caução</w:t>
            </w:r>
          </w:p>
        </w:tc>
        <w:tc>
          <w:tcPr>
            <w:tcW w:w="82" w:type="pct"/>
            <w:tcBorders>
              <w:top w:val="nil"/>
              <w:left w:val="nil"/>
              <w:bottom w:val="nil"/>
              <w:right w:val="nil"/>
            </w:tcBorders>
            <w:noWrap/>
            <w:vAlign w:val="center"/>
            <w:hideMark/>
          </w:tcPr>
          <w:p w14:paraId="3686CCE0"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6C6E7D52"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65CAABB9"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19" w:type="pct"/>
            <w:tcBorders>
              <w:top w:val="nil"/>
              <w:left w:val="nil"/>
              <w:bottom w:val="nil"/>
              <w:right w:val="nil"/>
            </w:tcBorders>
            <w:noWrap/>
            <w:vAlign w:val="center"/>
            <w:hideMark/>
          </w:tcPr>
          <w:p w14:paraId="2B2AB8A4"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color w:val="FF0000"/>
                <w:sz w:val="20"/>
                <w:szCs w:val="20"/>
                <w:lang w:eastAsia="pt-BR"/>
              </w:rPr>
              <w:t>(545.000)</w:t>
            </w:r>
          </w:p>
        </w:tc>
      </w:tr>
      <w:tr w:rsidR="00D87550" w:rsidRPr="00D87550" w14:paraId="3F0C5784" w14:textId="77777777" w:rsidTr="00D87550">
        <w:trPr>
          <w:trHeight w:val="255"/>
        </w:trPr>
        <w:tc>
          <w:tcPr>
            <w:tcW w:w="3377" w:type="pct"/>
            <w:tcBorders>
              <w:top w:val="nil"/>
              <w:left w:val="nil"/>
              <w:bottom w:val="nil"/>
              <w:right w:val="nil"/>
            </w:tcBorders>
            <w:noWrap/>
            <w:vAlign w:val="center"/>
            <w:hideMark/>
          </w:tcPr>
          <w:p w14:paraId="3AF59AAD"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Bloqueios judiciais</w:t>
            </w:r>
          </w:p>
        </w:tc>
        <w:tc>
          <w:tcPr>
            <w:tcW w:w="82" w:type="pct"/>
            <w:tcBorders>
              <w:top w:val="nil"/>
              <w:left w:val="nil"/>
              <w:bottom w:val="nil"/>
              <w:right w:val="nil"/>
            </w:tcBorders>
            <w:noWrap/>
            <w:vAlign w:val="center"/>
            <w:hideMark/>
          </w:tcPr>
          <w:p w14:paraId="7B3BA7AD"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3A9C86F8"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21F299F5"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FF0000"/>
                <w:sz w:val="20"/>
                <w:szCs w:val="20"/>
                <w:lang w:eastAsia="pt-BR"/>
              </w:rPr>
              <w:t>(65.311)</w:t>
            </w:r>
          </w:p>
        </w:tc>
        <w:tc>
          <w:tcPr>
            <w:tcW w:w="619" w:type="pct"/>
            <w:tcBorders>
              <w:top w:val="nil"/>
              <w:left w:val="nil"/>
              <w:bottom w:val="nil"/>
              <w:right w:val="nil"/>
            </w:tcBorders>
            <w:noWrap/>
            <w:vAlign w:val="center"/>
            <w:hideMark/>
          </w:tcPr>
          <w:p w14:paraId="730918E1"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color w:val="FF0000"/>
                <w:sz w:val="20"/>
                <w:szCs w:val="20"/>
                <w:lang w:eastAsia="pt-BR"/>
              </w:rPr>
              <w:t>(18.033)</w:t>
            </w:r>
          </w:p>
        </w:tc>
      </w:tr>
      <w:tr w:rsidR="00D87550" w:rsidRPr="00D87550" w14:paraId="2F2C5756" w14:textId="77777777" w:rsidTr="00D87550">
        <w:trPr>
          <w:trHeight w:val="255"/>
        </w:trPr>
        <w:tc>
          <w:tcPr>
            <w:tcW w:w="3377" w:type="pct"/>
            <w:tcBorders>
              <w:top w:val="nil"/>
              <w:left w:val="nil"/>
              <w:bottom w:val="nil"/>
              <w:right w:val="nil"/>
            </w:tcBorders>
            <w:noWrap/>
            <w:vAlign w:val="center"/>
            <w:hideMark/>
          </w:tcPr>
          <w:p w14:paraId="57862C75"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Pagamentos de processos trabalhistas</w:t>
            </w:r>
          </w:p>
        </w:tc>
        <w:tc>
          <w:tcPr>
            <w:tcW w:w="82" w:type="pct"/>
            <w:tcBorders>
              <w:top w:val="nil"/>
              <w:left w:val="nil"/>
              <w:bottom w:val="nil"/>
              <w:right w:val="nil"/>
            </w:tcBorders>
            <w:noWrap/>
            <w:vAlign w:val="center"/>
            <w:hideMark/>
          </w:tcPr>
          <w:p w14:paraId="5164659C"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139AFB19"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3B9FB75D"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FF0000"/>
                <w:sz w:val="20"/>
                <w:szCs w:val="20"/>
                <w:lang w:eastAsia="pt-BR"/>
              </w:rPr>
              <w:t>(1.481.886)</w:t>
            </w:r>
          </w:p>
        </w:tc>
        <w:tc>
          <w:tcPr>
            <w:tcW w:w="619" w:type="pct"/>
            <w:tcBorders>
              <w:top w:val="nil"/>
              <w:left w:val="nil"/>
              <w:bottom w:val="nil"/>
              <w:right w:val="nil"/>
            </w:tcBorders>
            <w:noWrap/>
            <w:vAlign w:val="center"/>
            <w:hideMark/>
          </w:tcPr>
          <w:p w14:paraId="794A36FC"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p>
        </w:tc>
      </w:tr>
      <w:tr w:rsidR="00D87550" w:rsidRPr="00D87550" w14:paraId="3956A86B" w14:textId="77777777" w:rsidTr="00D87550">
        <w:trPr>
          <w:trHeight w:val="255"/>
        </w:trPr>
        <w:tc>
          <w:tcPr>
            <w:tcW w:w="3377" w:type="pct"/>
            <w:tcBorders>
              <w:top w:val="nil"/>
              <w:left w:val="nil"/>
              <w:bottom w:val="nil"/>
              <w:right w:val="nil"/>
            </w:tcBorders>
            <w:noWrap/>
            <w:vAlign w:val="center"/>
            <w:hideMark/>
          </w:tcPr>
          <w:p w14:paraId="531F4666"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Gastos com tributação na fonte sobre aplicações financeiras</w:t>
            </w:r>
          </w:p>
        </w:tc>
        <w:tc>
          <w:tcPr>
            <w:tcW w:w="82" w:type="pct"/>
            <w:tcBorders>
              <w:top w:val="nil"/>
              <w:left w:val="nil"/>
              <w:bottom w:val="nil"/>
              <w:right w:val="nil"/>
            </w:tcBorders>
            <w:noWrap/>
            <w:vAlign w:val="center"/>
            <w:hideMark/>
          </w:tcPr>
          <w:p w14:paraId="71DC8DD2"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3539982B"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7D8F6C3B"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FF0000"/>
                <w:sz w:val="20"/>
                <w:szCs w:val="20"/>
                <w:lang w:eastAsia="pt-BR"/>
              </w:rPr>
              <w:t>(456.323)</w:t>
            </w:r>
          </w:p>
        </w:tc>
        <w:tc>
          <w:tcPr>
            <w:tcW w:w="619" w:type="pct"/>
            <w:tcBorders>
              <w:top w:val="nil"/>
              <w:left w:val="nil"/>
              <w:bottom w:val="nil"/>
              <w:right w:val="nil"/>
            </w:tcBorders>
            <w:noWrap/>
            <w:vAlign w:val="center"/>
            <w:hideMark/>
          </w:tcPr>
          <w:p w14:paraId="0237FFA2"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p>
        </w:tc>
      </w:tr>
      <w:tr w:rsidR="00D87550" w:rsidRPr="00D87550" w14:paraId="6CA20296" w14:textId="77777777" w:rsidTr="00D87550">
        <w:trPr>
          <w:trHeight w:val="255"/>
        </w:trPr>
        <w:tc>
          <w:tcPr>
            <w:tcW w:w="3377" w:type="pct"/>
            <w:tcBorders>
              <w:top w:val="nil"/>
              <w:left w:val="nil"/>
              <w:bottom w:val="nil"/>
              <w:right w:val="nil"/>
            </w:tcBorders>
            <w:noWrap/>
            <w:vAlign w:val="center"/>
            <w:hideMark/>
          </w:tcPr>
          <w:p w14:paraId="4C87DE0D" w14:textId="77777777" w:rsidR="00D87550" w:rsidRPr="00D87550" w:rsidRDefault="00D87550" w:rsidP="00D87550">
            <w:pPr>
              <w:spacing w:after="0" w:line="240" w:lineRule="auto"/>
              <w:jc w:val="right"/>
              <w:rPr>
                <w:rFonts w:ascii="Times New Roman" w:eastAsia="Times New Roman" w:hAnsi="Times New Roman" w:cs="Times New Roman"/>
                <w:sz w:val="20"/>
                <w:szCs w:val="20"/>
                <w:lang w:eastAsia="pt-BR"/>
              </w:rPr>
            </w:pPr>
          </w:p>
        </w:tc>
        <w:tc>
          <w:tcPr>
            <w:tcW w:w="82" w:type="pct"/>
            <w:tcBorders>
              <w:top w:val="nil"/>
              <w:left w:val="nil"/>
              <w:bottom w:val="nil"/>
              <w:right w:val="nil"/>
            </w:tcBorders>
            <w:noWrap/>
            <w:vAlign w:val="center"/>
            <w:hideMark/>
          </w:tcPr>
          <w:p w14:paraId="135E66A7"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219" w:type="pct"/>
            <w:tcBorders>
              <w:top w:val="nil"/>
              <w:left w:val="nil"/>
              <w:bottom w:val="nil"/>
              <w:right w:val="nil"/>
            </w:tcBorders>
            <w:noWrap/>
            <w:vAlign w:val="center"/>
            <w:hideMark/>
          </w:tcPr>
          <w:p w14:paraId="2794C48D"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11450B53"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19" w:type="pct"/>
            <w:tcBorders>
              <w:top w:val="nil"/>
              <w:left w:val="nil"/>
              <w:bottom w:val="nil"/>
              <w:right w:val="nil"/>
            </w:tcBorders>
            <w:noWrap/>
            <w:vAlign w:val="center"/>
            <w:hideMark/>
          </w:tcPr>
          <w:p w14:paraId="20D0282D"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185B874B" w14:textId="77777777" w:rsidTr="00D87550">
        <w:trPr>
          <w:trHeight w:val="255"/>
        </w:trPr>
        <w:tc>
          <w:tcPr>
            <w:tcW w:w="3377" w:type="pct"/>
            <w:tcBorders>
              <w:top w:val="single" w:sz="4" w:space="0" w:color="auto"/>
              <w:left w:val="nil"/>
              <w:bottom w:val="single" w:sz="4" w:space="0" w:color="auto"/>
              <w:right w:val="nil"/>
            </w:tcBorders>
            <w:noWrap/>
            <w:vAlign w:val="center"/>
            <w:hideMark/>
          </w:tcPr>
          <w:p w14:paraId="1E4A3632"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CAIXA LIQUIDO USADO DAS ATIVIDADES OPERACIONAIS (-1)</w:t>
            </w:r>
          </w:p>
        </w:tc>
        <w:tc>
          <w:tcPr>
            <w:tcW w:w="82" w:type="pct"/>
            <w:tcBorders>
              <w:top w:val="single" w:sz="4" w:space="0" w:color="auto"/>
              <w:left w:val="nil"/>
              <w:bottom w:val="single" w:sz="4" w:space="0" w:color="auto"/>
              <w:right w:val="nil"/>
            </w:tcBorders>
            <w:noWrap/>
            <w:vAlign w:val="center"/>
            <w:hideMark/>
          </w:tcPr>
          <w:p w14:paraId="200DDFD4"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w:t>
            </w:r>
          </w:p>
        </w:tc>
        <w:tc>
          <w:tcPr>
            <w:tcW w:w="219" w:type="pct"/>
            <w:tcBorders>
              <w:top w:val="single" w:sz="4" w:space="0" w:color="auto"/>
              <w:left w:val="nil"/>
              <w:bottom w:val="single" w:sz="4" w:space="0" w:color="auto"/>
              <w:right w:val="nil"/>
            </w:tcBorders>
            <w:noWrap/>
            <w:vAlign w:val="center"/>
            <w:hideMark/>
          </w:tcPr>
          <w:p w14:paraId="4F507C51"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w:t>
            </w:r>
          </w:p>
        </w:tc>
        <w:tc>
          <w:tcPr>
            <w:tcW w:w="702" w:type="pct"/>
            <w:tcBorders>
              <w:top w:val="single" w:sz="4" w:space="0" w:color="auto"/>
              <w:left w:val="nil"/>
              <w:bottom w:val="single" w:sz="4" w:space="0" w:color="auto"/>
              <w:right w:val="nil"/>
            </w:tcBorders>
            <w:noWrap/>
            <w:vAlign w:val="center"/>
            <w:hideMark/>
          </w:tcPr>
          <w:p w14:paraId="5DBE0105" w14:textId="77777777" w:rsidR="00D87550" w:rsidRPr="00D87550" w:rsidRDefault="00D87550" w:rsidP="00D87550">
            <w:pPr>
              <w:spacing w:after="0" w:line="240" w:lineRule="auto"/>
              <w:jc w:val="right"/>
              <w:rPr>
                <w:rFonts w:ascii="Century" w:eastAsia="Times New Roman" w:hAnsi="Century" w:cs="Calibri"/>
                <w:b/>
                <w:bCs/>
                <w:sz w:val="20"/>
                <w:szCs w:val="20"/>
                <w:lang w:eastAsia="pt-BR"/>
              </w:rPr>
            </w:pPr>
            <w:r w:rsidRPr="00D87550">
              <w:rPr>
                <w:rFonts w:ascii="Century" w:eastAsia="Times New Roman" w:hAnsi="Century" w:cs="Calibri"/>
                <w:b/>
                <w:bCs/>
                <w:color w:val="FF0000"/>
                <w:sz w:val="20"/>
                <w:szCs w:val="20"/>
                <w:lang w:eastAsia="pt-BR"/>
              </w:rPr>
              <w:t>(55.389.056)</w:t>
            </w:r>
          </w:p>
        </w:tc>
        <w:tc>
          <w:tcPr>
            <w:tcW w:w="619" w:type="pct"/>
            <w:tcBorders>
              <w:top w:val="single" w:sz="4" w:space="0" w:color="auto"/>
              <w:left w:val="nil"/>
              <w:bottom w:val="single" w:sz="4" w:space="0" w:color="auto"/>
              <w:right w:val="nil"/>
            </w:tcBorders>
            <w:noWrap/>
            <w:vAlign w:val="center"/>
            <w:hideMark/>
          </w:tcPr>
          <w:p w14:paraId="5D3A1599" w14:textId="77777777" w:rsidR="00D87550" w:rsidRPr="00D87550" w:rsidRDefault="00D87550" w:rsidP="00D87550">
            <w:pPr>
              <w:spacing w:after="0" w:line="240" w:lineRule="auto"/>
              <w:jc w:val="right"/>
              <w:rPr>
                <w:rFonts w:ascii="Century" w:eastAsia="Times New Roman" w:hAnsi="Century" w:cs="Calibri"/>
                <w:b/>
                <w:bCs/>
                <w:sz w:val="20"/>
                <w:szCs w:val="20"/>
                <w:lang w:eastAsia="pt-BR"/>
              </w:rPr>
            </w:pPr>
            <w:r w:rsidRPr="00D87550">
              <w:rPr>
                <w:rFonts w:ascii="Century" w:eastAsia="Times New Roman" w:hAnsi="Century" w:cs="Calibri"/>
                <w:b/>
                <w:bCs/>
                <w:color w:val="FF0000"/>
                <w:sz w:val="20"/>
                <w:szCs w:val="20"/>
                <w:lang w:eastAsia="pt-BR"/>
              </w:rPr>
              <w:t>(58.220.812)</w:t>
            </w:r>
          </w:p>
        </w:tc>
      </w:tr>
      <w:tr w:rsidR="00D87550" w:rsidRPr="00D87550" w14:paraId="37193A6E" w14:textId="77777777" w:rsidTr="00D87550">
        <w:trPr>
          <w:trHeight w:val="255"/>
        </w:trPr>
        <w:tc>
          <w:tcPr>
            <w:tcW w:w="3377" w:type="pct"/>
            <w:tcBorders>
              <w:top w:val="nil"/>
              <w:left w:val="nil"/>
              <w:bottom w:val="nil"/>
              <w:right w:val="nil"/>
            </w:tcBorders>
            <w:noWrap/>
            <w:vAlign w:val="center"/>
            <w:hideMark/>
          </w:tcPr>
          <w:p w14:paraId="0A6213A1" w14:textId="77777777" w:rsidR="00D87550" w:rsidRPr="00D87550" w:rsidRDefault="00D87550" w:rsidP="00D87550">
            <w:pPr>
              <w:spacing w:after="0" w:line="240" w:lineRule="auto"/>
              <w:jc w:val="right"/>
              <w:rPr>
                <w:rFonts w:ascii="Century" w:eastAsia="Times New Roman" w:hAnsi="Century" w:cs="Calibri"/>
                <w:b/>
                <w:bCs/>
                <w:sz w:val="20"/>
                <w:szCs w:val="20"/>
                <w:lang w:eastAsia="pt-BR"/>
              </w:rPr>
            </w:pPr>
          </w:p>
        </w:tc>
        <w:tc>
          <w:tcPr>
            <w:tcW w:w="82" w:type="pct"/>
            <w:tcBorders>
              <w:top w:val="nil"/>
              <w:left w:val="nil"/>
              <w:bottom w:val="nil"/>
              <w:right w:val="nil"/>
            </w:tcBorders>
            <w:noWrap/>
            <w:vAlign w:val="center"/>
            <w:hideMark/>
          </w:tcPr>
          <w:p w14:paraId="6F97B09F"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219" w:type="pct"/>
            <w:tcBorders>
              <w:top w:val="nil"/>
              <w:left w:val="nil"/>
              <w:bottom w:val="nil"/>
              <w:right w:val="nil"/>
            </w:tcBorders>
            <w:noWrap/>
            <w:vAlign w:val="center"/>
            <w:hideMark/>
          </w:tcPr>
          <w:p w14:paraId="295FB940"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58529EE5"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19" w:type="pct"/>
            <w:tcBorders>
              <w:top w:val="nil"/>
              <w:left w:val="nil"/>
              <w:bottom w:val="nil"/>
              <w:right w:val="nil"/>
            </w:tcBorders>
            <w:noWrap/>
            <w:vAlign w:val="center"/>
            <w:hideMark/>
          </w:tcPr>
          <w:p w14:paraId="74A69E71"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50FE213E" w14:textId="77777777" w:rsidTr="00D87550">
        <w:trPr>
          <w:trHeight w:val="255"/>
        </w:trPr>
        <w:tc>
          <w:tcPr>
            <w:tcW w:w="3377" w:type="pct"/>
            <w:tcBorders>
              <w:top w:val="nil"/>
              <w:left w:val="nil"/>
              <w:bottom w:val="nil"/>
              <w:right w:val="nil"/>
            </w:tcBorders>
            <w:noWrap/>
            <w:vAlign w:val="center"/>
            <w:hideMark/>
          </w:tcPr>
          <w:p w14:paraId="5DE35EA8"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FLUXO DE CAIXA ATIVIDADE DE INVESTIMENTO</w:t>
            </w:r>
          </w:p>
        </w:tc>
        <w:tc>
          <w:tcPr>
            <w:tcW w:w="82" w:type="pct"/>
            <w:tcBorders>
              <w:top w:val="nil"/>
              <w:left w:val="nil"/>
              <w:bottom w:val="nil"/>
              <w:right w:val="nil"/>
            </w:tcBorders>
            <w:noWrap/>
            <w:vAlign w:val="center"/>
            <w:hideMark/>
          </w:tcPr>
          <w:p w14:paraId="76B344EB"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p>
        </w:tc>
        <w:tc>
          <w:tcPr>
            <w:tcW w:w="219" w:type="pct"/>
            <w:tcBorders>
              <w:top w:val="nil"/>
              <w:left w:val="nil"/>
              <w:bottom w:val="nil"/>
              <w:right w:val="nil"/>
            </w:tcBorders>
            <w:noWrap/>
            <w:vAlign w:val="center"/>
            <w:hideMark/>
          </w:tcPr>
          <w:p w14:paraId="5667EF2B"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6C4F31F0"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19" w:type="pct"/>
            <w:tcBorders>
              <w:top w:val="nil"/>
              <w:left w:val="nil"/>
              <w:bottom w:val="nil"/>
              <w:right w:val="nil"/>
            </w:tcBorders>
            <w:noWrap/>
            <w:vAlign w:val="center"/>
            <w:hideMark/>
          </w:tcPr>
          <w:p w14:paraId="353BC4EA"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630C4053" w14:textId="77777777" w:rsidTr="00D87550">
        <w:trPr>
          <w:trHeight w:val="255"/>
        </w:trPr>
        <w:tc>
          <w:tcPr>
            <w:tcW w:w="3377" w:type="pct"/>
            <w:tcBorders>
              <w:top w:val="nil"/>
              <w:left w:val="nil"/>
              <w:bottom w:val="nil"/>
              <w:right w:val="nil"/>
            </w:tcBorders>
            <w:noWrap/>
            <w:vAlign w:val="center"/>
            <w:hideMark/>
          </w:tcPr>
          <w:p w14:paraId="404E385E"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82" w:type="pct"/>
            <w:tcBorders>
              <w:top w:val="nil"/>
              <w:left w:val="nil"/>
              <w:bottom w:val="nil"/>
              <w:right w:val="nil"/>
            </w:tcBorders>
            <w:noWrap/>
            <w:vAlign w:val="center"/>
            <w:hideMark/>
          </w:tcPr>
          <w:p w14:paraId="13D536C2"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219" w:type="pct"/>
            <w:tcBorders>
              <w:top w:val="nil"/>
              <w:left w:val="nil"/>
              <w:bottom w:val="nil"/>
              <w:right w:val="nil"/>
            </w:tcBorders>
            <w:noWrap/>
            <w:vAlign w:val="center"/>
            <w:hideMark/>
          </w:tcPr>
          <w:p w14:paraId="75A26453"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71EFB8AA"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19" w:type="pct"/>
            <w:tcBorders>
              <w:top w:val="nil"/>
              <w:left w:val="nil"/>
              <w:bottom w:val="nil"/>
              <w:right w:val="nil"/>
            </w:tcBorders>
            <w:noWrap/>
            <w:vAlign w:val="center"/>
            <w:hideMark/>
          </w:tcPr>
          <w:p w14:paraId="148C3CFC"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19AD6E6C" w14:textId="77777777" w:rsidTr="00D87550">
        <w:trPr>
          <w:trHeight w:val="255"/>
        </w:trPr>
        <w:tc>
          <w:tcPr>
            <w:tcW w:w="3377" w:type="pct"/>
            <w:tcBorders>
              <w:top w:val="nil"/>
              <w:left w:val="nil"/>
              <w:bottom w:val="nil"/>
              <w:right w:val="nil"/>
            </w:tcBorders>
            <w:noWrap/>
            <w:vAlign w:val="center"/>
            <w:hideMark/>
          </w:tcPr>
          <w:p w14:paraId="680C9381"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Aplicações financeiras de resgate imediato</w:t>
            </w:r>
          </w:p>
        </w:tc>
        <w:tc>
          <w:tcPr>
            <w:tcW w:w="82" w:type="pct"/>
            <w:tcBorders>
              <w:top w:val="nil"/>
              <w:left w:val="nil"/>
              <w:bottom w:val="nil"/>
              <w:right w:val="nil"/>
            </w:tcBorders>
            <w:noWrap/>
            <w:vAlign w:val="center"/>
            <w:hideMark/>
          </w:tcPr>
          <w:p w14:paraId="4583B685"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68FDF36A"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7170274F"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19" w:type="pct"/>
            <w:tcBorders>
              <w:top w:val="nil"/>
              <w:left w:val="nil"/>
              <w:bottom w:val="nil"/>
              <w:right w:val="nil"/>
            </w:tcBorders>
            <w:noWrap/>
            <w:vAlign w:val="center"/>
            <w:hideMark/>
          </w:tcPr>
          <w:p w14:paraId="76A100ED"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25FF9992" w14:textId="77777777" w:rsidTr="00D87550">
        <w:trPr>
          <w:trHeight w:val="255"/>
        </w:trPr>
        <w:tc>
          <w:tcPr>
            <w:tcW w:w="3377" w:type="pct"/>
            <w:tcBorders>
              <w:top w:val="nil"/>
              <w:left w:val="nil"/>
              <w:bottom w:val="nil"/>
              <w:right w:val="nil"/>
            </w:tcBorders>
            <w:noWrap/>
            <w:vAlign w:val="center"/>
            <w:hideMark/>
          </w:tcPr>
          <w:p w14:paraId="2D71F57C"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Participações societárias</w:t>
            </w:r>
          </w:p>
        </w:tc>
        <w:tc>
          <w:tcPr>
            <w:tcW w:w="82" w:type="pct"/>
            <w:tcBorders>
              <w:top w:val="nil"/>
              <w:left w:val="nil"/>
              <w:bottom w:val="nil"/>
              <w:right w:val="nil"/>
            </w:tcBorders>
            <w:noWrap/>
            <w:vAlign w:val="center"/>
            <w:hideMark/>
          </w:tcPr>
          <w:p w14:paraId="07E35E22"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389EE7CA"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432EF504"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FF0000"/>
                <w:sz w:val="20"/>
                <w:szCs w:val="20"/>
                <w:lang w:eastAsia="pt-BR"/>
              </w:rPr>
              <w:t>(1.000.000)</w:t>
            </w:r>
          </w:p>
        </w:tc>
        <w:tc>
          <w:tcPr>
            <w:tcW w:w="619" w:type="pct"/>
            <w:tcBorders>
              <w:top w:val="nil"/>
              <w:left w:val="nil"/>
              <w:bottom w:val="nil"/>
              <w:right w:val="nil"/>
            </w:tcBorders>
            <w:noWrap/>
            <w:vAlign w:val="center"/>
            <w:hideMark/>
          </w:tcPr>
          <w:p w14:paraId="7B7A82FA"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p>
        </w:tc>
      </w:tr>
      <w:tr w:rsidR="00D87550" w:rsidRPr="00D87550" w14:paraId="762BC74C" w14:textId="77777777" w:rsidTr="00D87550">
        <w:trPr>
          <w:trHeight w:val="255"/>
        </w:trPr>
        <w:tc>
          <w:tcPr>
            <w:tcW w:w="3377" w:type="pct"/>
            <w:tcBorders>
              <w:top w:val="nil"/>
              <w:left w:val="nil"/>
              <w:bottom w:val="nil"/>
              <w:right w:val="nil"/>
            </w:tcBorders>
            <w:noWrap/>
            <w:vAlign w:val="center"/>
            <w:hideMark/>
          </w:tcPr>
          <w:p w14:paraId="59B34D7B"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Aquisição de Imobilizados</w:t>
            </w:r>
          </w:p>
        </w:tc>
        <w:tc>
          <w:tcPr>
            <w:tcW w:w="82" w:type="pct"/>
            <w:tcBorders>
              <w:top w:val="nil"/>
              <w:left w:val="nil"/>
              <w:bottom w:val="nil"/>
              <w:right w:val="nil"/>
            </w:tcBorders>
            <w:noWrap/>
            <w:vAlign w:val="center"/>
            <w:hideMark/>
          </w:tcPr>
          <w:p w14:paraId="4EB0408C"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5AA92508"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25FE8C82"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0 </w:t>
            </w:r>
          </w:p>
        </w:tc>
        <w:tc>
          <w:tcPr>
            <w:tcW w:w="619" w:type="pct"/>
            <w:tcBorders>
              <w:top w:val="nil"/>
              <w:left w:val="nil"/>
              <w:bottom w:val="nil"/>
              <w:right w:val="nil"/>
            </w:tcBorders>
            <w:noWrap/>
            <w:vAlign w:val="center"/>
            <w:hideMark/>
          </w:tcPr>
          <w:p w14:paraId="31612095"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color w:val="FF0000"/>
                <w:sz w:val="20"/>
                <w:szCs w:val="20"/>
                <w:lang w:eastAsia="pt-BR"/>
              </w:rPr>
              <w:t>(126.509)</w:t>
            </w:r>
          </w:p>
        </w:tc>
      </w:tr>
      <w:tr w:rsidR="00D87550" w:rsidRPr="00D87550" w14:paraId="2BB5AF17" w14:textId="77777777" w:rsidTr="00D87550">
        <w:trPr>
          <w:trHeight w:val="255"/>
        </w:trPr>
        <w:tc>
          <w:tcPr>
            <w:tcW w:w="3377" w:type="pct"/>
            <w:tcBorders>
              <w:top w:val="nil"/>
              <w:left w:val="nil"/>
              <w:bottom w:val="nil"/>
              <w:right w:val="nil"/>
            </w:tcBorders>
            <w:noWrap/>
            <w:vAlign w:val="center"/>
            <w:hideMark/>
          </w:tcPr>
          <w:p w14:paraId="0889A048"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Resgates automáticos de aplicações financeiras</w:t>
            </w:r>
          </w:p>
        </w:tc>
        <w:tc>
          <w:tcPr>
            <w:tcW w:w="82" w:type="pct"/>
            <w:tcBorders>
              <w:top w:val="nil"/>
              <w:left w:val="nil"/>
              <w:bottom w:val="nil"/>
              <w:right w:val="nil"/>
            </w:tcBorders>
            <w:noWrap/>
            <w:vAlign w:val="center"/>
            <w:hideMark/>
          </w:tcPr>
          <w:p w14:paraId="22D68C67"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1BD4FF45"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5551C837"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19" w:type="pct"/>
            <w:tcBorders>
              <w:top w:val="nil"/>
              <w:left w:val="nil"/>
              <w:bottom w:val="nil"/>
              <w:right w:val="nil"/>
            </w:tcBorders>
            <w:noWrap/>
            <w:vAlign w:val="center"/>
            <w:hideMark/>
          </w:tcPr>
          <w:p w14:paraId="3D7AD121"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0FA51126" w14:textId="77777777" w:rsidTr="00D87550">
        <w:trPr>
          <w:trHeight w:val="255"/>
        </w:trPr>
        <w:tc>
          <w:tcPr>
            <w:tcW w:w="3377" w:type="pct"/>
            <w:tcBorders>
              <w:top w:val="nil"/>
              <w:left w:val="nil"/>
              <w:bottom w:val="nil"/>
              <w:right w:val="nil"/>
            </w:tcBorders>
            <w:noWrap/>
            <w:vAlign w:val="center"/>
            <w:hideMark/>
          </w:tcPr>
          <w:p w14:paraId="740ABF7F" w14:textId="77777777" w:rsidR="00D87550" w:rsidRPr="00D87550" w:rsidRDefault="00D87550" w:rsidP="00D87550">
            <w:pPr>
              <w:spacing w:after="0" w:line="240" w:lineRule="auto"/>
              <w:jc w:val="right"/>
              <w:rPr>
                <w:rFonts w:ascii="Times New Roman" w:eastAsia="Times New Roman" w:hAnsi="Times New Roman" w:cs="Times New Roman"/>
                <w:sz w:val="20"/>
                <w:szCs w:val="20"/>
                <w:lang w:eastAsia="pt-BR"/>
              </w:rPr>
            </w:pPr>
          </w:p>
        </w:tc>
        <w:tc>
          <w:tcPr>
            <w:tcW w:w="82" w:type="pct"/>
            <w:tcBorders>
              <w:top w:val="nil"/>
              <w:left w:val="nil"/>
              <w:bottom w:val="nil"/>
              <w:right w:val="nil"/>
            </w:tcBorders>
            <w:noWrap/>
            <w:vAlign w:val="center"/>
            <w:hideMark/>
          </w:tcPr>
          <w:p w14:paraId="5B61698A"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219" w:type="pct"/>
            <w:tcBorders>
              <w:top w:val="nil"/>
              <w:left w:val="nil"/>
              <w:bottom w:val="nil"/>
              <w:right w:val="nil"/>
            </w:tcBorders>
            <w:noWrap/>
            <w:vAlign w:val="center"/>
            <w:hideMark/>
          </w:tcPr>
          <w:p w14:paraId="431ABD75"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73E301AD"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19" w:type="pct"/>
            <w:tcBorders>
              <w:top w:val="nil"/>
              <w:left w:val="nil"/>
              <w:bottom w:val="nil"/>
              <w:right w:val="nil"/>
            </w:tcBorders>
            <w:noWrap/>
            <w:vAlign w:val="center"/>
            <w:hideMark/>
          </w:tcPr>
          <w:p w14:paraId="66C43152"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2F46FAF3" w14:textId="77777777" w:rsidTr="00D87550">
        <w:trPr>
          <w:trHeight w:val="255"/>
        </w:trPr>
        <w:tc>
          <w:tcPr>
            <w:tcW w:w="3377" w:type="pct"/>
            <w:tcBorders>
              <w:top w:val="single" w:sz="4" w:space="0" w:color="auto"/>
              <w:left w:val="nil"/>
              <w:bottom w:val="single" w:sz="4" w:space="0" w:color="auto"/>
              <w:right w:val="nil"/>
            </w:tcBorders>
            <w:noWrap/>
            <w:vAlign w:val="center"/>
            <w:hideMark/>
          </w:tcPr>
          <w:p w14:paraId="4A8FAA08"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CAIXA LIQUIDO USADO ATIVIDADE DE INVESTIMENTO (-2)</w:t>
            </w:r>
          </w:p>
        </w:tc>
        <w:tc>
          <w:tcPr>
            <w:tcW w:w="82" w:type="pct"/>
            <w:tcBorders>
              <w:top w:val="single" w:sz="4" w:space="0" w:color="auto"/>
              <w:left w:val="nil"/>
              <w:bottom w:val="single" w:sz="4" w:space="0" w:color="auto"/>
              <w:right w:val="nil"/>
            </w:tcBorders>
            <w:noWrap/>
            <w:vAlign w:val="center"/>
            <w:hideMark/>
          </w:tcPr>
          <w:p w14:paraId="047ADCD6"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w:t>
            </w:r>
          </w:p>
        </w:tc>
        <w:tc>
          <w:tcPr>
            <w:tcW w:w="219" w:type="pct"/>
            <w:tcBorders>
              <w:top w:val="single" w:sz="4" w:space="0" w:color="auto"/>
              <w:left w:val="nil"/>
              <w:bottom w:val="single" w:sz="4" w:space="0" w:color="auto"/>
              <w:right w:val="nil"/>
            </w:tcBorders>
            <w:noWrap/>
            <w:vAlign w:val="center"/>
            <w:hideMark/>
          </w:tcPr>
          <w:p w14:paraId="7876AEBE"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w:t>
            </w:r>
          </w:p>
        </w:tc>
        <w:tc>
          <w:tcPr>
            <w:tcW w:w="702" w:type="pct"/>
            <w:tcBorders>
              <w:top w:val="single" w:sz="4" w:space="0" w:color="auto"/>
              <w:left w:val="nil"/>
              <w:bottom w:val="single" w:sz="4" w:space="0" w:color="auto"/>
              <w:right w:val="nil"/>
            </w:tcBorders>
            <w:noWrap/>
            <w:vAlign w:val="center"/>
            <w:hideMark/>
          </w:tcPr>
          <w:p w14:paraId="7C1AA748" w14:textId="77777777" w:rsidR="00D87550" w:rsidRPr="00D87550" w:rsidRDefault="00D87550" w:rsidP="00D87550">
            <w:pPr>
              <w:spacing w:after="0" w:line="240" w:lineRule="auto"/>
              <w:jc w:val="right"/>
              <w:rPr>
                <w:rFonts w:ascii="Century" w:eastAsia="Times New Roman" w:hAnsi="Century" w:cs="Calibri"/>
                <w:b/>
                <w:bCs/>
                <w:sz w:val="20"/>
                <w:szCs w:val="20"/>
                <w:lang w:eastAsia="pt-BR"/>
              </w:rPr>
            </w:pPr>
            <w:r w:rsidRPr="00D87550">
              <w:rPr>
                <w:rFonts w:ascii="Century" w:eastAsia="Times New Roman" w:hAnsi="Century" w:cs="Calibri"/>
                <w:b/>
                <w:bCs/>
                <w:color w:val="FF0000"/>
                <w:sz w:val="20"/>
                <w:szCs w:val="20"/>
                <w:lang w:eastAsia="pt-BR"/>
              </w:rPr>
              <w:t>(1.000.000)</w:t>
            </w:r>
          </w:p>
        </w:tc>
        <w:tc>
          <w:tcPr>
            <w:tcW w:w="619" w:type="pct"/>
            <w:tcBorders>
              <w:top w:val="single" w:sz="4" w:space="0" w:color="auto"/>
              <w:left w:val="nil"/>
              <w:bottom w:val="single" w:sz="4" w:space="0" w:color="auto"/>
              <w:right w:val="nil"/>
            </w:tcBorders>
            <w:noWrap/>
            <w:vAlign w:val="center"/>
            <w:hideMark/>
          </w:tcPr>
          <w:p w14:paraId="25906387" w14:textId="77777777" w:rsidR="00D87550" w:rsidRPr="00D87550" w:rsidRDefault="00D87550" w:rsidP="00D87550">
            <w:pPr>
              <w:spacing w:after="0" w:line="240" w:lineRule="auto"/>
              <w:jc w:val="right"/>
              <w:rPr>
                <w:rFonts w:ascii="Century" w:eastAsia="Times New Roman" w:hAnsi="Century" w:cs="Calibri"/>
                <w:b/>
                <w:bCs/>
                <w:sz w:val="20"/>
                <w:szCs w:val="20"/>
                <w:lang w:eastAsia="pt-BR"/>
              </w:rPr>
            </w:pPr>
            <w:r w:rsidRPr="00D87550">
              <w:rPr>
                <w:rFonts w:ascii="Century" w:eastAsia="Times New Roman" w:hAnsi="Century" w:cs="Calibri"/>
                <w:b/>
                <w:bCs/>
                <w:color w:val="FF0000"/>
                <w:sz w:val="20"/>
                <w:szCs w:val="20"/>
                <w:lang w:eastAsia="pt-BR"/>
              </w:rPr>
              <w:t>(126.509)</w:t>
            </w:r>
          </w:p>
        </w:tc>
      </w:tr>
      <w:tr w:rsidR="00D87550" w:rsidRPr="00D87550" w14:paraId="1F832E69" w14:textId="77777777" w:rsidTr="00D87550">
        <w:trPr>
          <w:trHeight w:val="255"/>
        </w:trPr>
        <w:tc>
          <w:tcPr>
            <w:tcW w:w="3377" w:type="pct"/>
            <w:tcBorders>
              <w:top w:val="nil"/>
              <w:left w:val="nil"/>
              <w:bottom w:val="nil"/>
              <w:right w:val="nil"/>
            </w:tcBorders>
            <w:noWrap/>
            <w:vAlign w:val="center"/>
            <w:hideMark/>
          </w:tcPr>
          <w:p w14:paraId="51160C00" w14:textId="77777777" w:rsidR="00D87550" w:rsidRPr="00D87550" w:rsidRDefault="00D87550" w:rsidP="00D87550">
            <w:pPr>
              <w:spacing w:after="0" w:line="240" w:lineRule="auto"/>
              <w:jc w:val="right"/>
              <w:rPr>
                <w:rFonts w:ascii="Century" w:eastAsia="Times New Roman" w:hAnsi="Century" w:cs="Calibri"/>
                <w:b/>
                <w:bCs/>
                <w:sz w:val="20"/>
                <w:szCs w:val="20"/>
                <w:lang w:eastAsia="pt-BR"/>
              </w:rPr>
            </w:pPr>
          </w:p>
        </w:tc>
        <w:tc>
          <w:tcPr>
            <w:tcW w:w="82" w:type="pct"/>
            <w:tcBorders>
              <w:top w:val="nil"/>
              <w:left w:val="nil"/>
              <w:bottom w:val="nil"/>
              <w:right w:val="nil"/>
            </w:tcBorders>
            <w:noWrap/>
            <w:vAlign w:val="center"/>
            <w:hideMark/>
          </w:tcPr>
          <w:p w14:paraId="55D74007"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219" w:type="pct"/>
            <w:tcBorders>
              <w:top w:val="nil"/>
              <w:left w:val="nil"/>
              <w:bottom w:val="nil"/>
              <w:right w:val="nil"/>
            </w:tcBorders>
            <w:noWrap/>
            <w:vAlign w:val="center"/>
            <w:hideMark/>
          </w:tcPr>
          <w:p w14:paraId="3DC03930"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125ECED1"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19" w:type="pct"/>
            <w:tcBorders>
              <w:top w:val="nil"/>
              <w:left w:val="nil"/>
              <w:bottom w:val="nil"/>
              <w:right w:val="nil"/>
            </w:tcBorders>
            <w:noWrap/>
            <w:vAlign w:val="center"/>
            <w:hideMark/>
          </w:tcPr>
          <w:p w14:paraId="5A30DC60"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55F2BDDB" w14:textId="77777777" w:rsidTr="00D87550">
        <w:trPr>
          <w:trHeight w:val="255"/>
        </w:trPr>
        <w:tc>
          <w:tcPr>
            <w:tcW w:w="3377" w:type="pct"/>
            <w:tcBorders>
              <w:top w:val="nil"/>
              <w:left w:val="nil"/>
              <w:bottom w:val="nil"/>
              <w:right w:val="nil"/>
            </w:tcBorders>
            <w:noWrap/>
            <w:vAlign w:val="center"/>
            <w:hideMark/>
          </w:tcPr>
          <w:p w14:paraId="06983C54"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FLUXO DE CAIXA ATIVIDADE FINANCIAMENTO</w:t>
            </w:r>
          </w:p>
        </w:tc>
        <w:tc>
          <w:tcPr>
            <w:tcW w:w="82" w:type="pct"/>
            <w:tcBorders>
              <w:top w:val="nil"/>
              <w:left w:val="nil"/>
              <w:bottom w:val="nil"/>
              <w:right w:val="nil"/>
            </w:tcBorders>
            <w:noWrap/>
            <w:vAlign w:val="center"/>
            <w:hideMark/>
          </w:tcPr>
          <w:p w14:paraId="194F0F40"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p>
        </w:tc>
        <w:tc>
          <w:tcPr>
            <w:tcW w:w="219" w:type="pct"/>
            <w:tcBorders>
              <w:top w:val="nil"/>
              <w:left w:val="nil"/>
              <w:bottom w:val="nil"/>
              <w:right w:val="nil"/>
            </w:tcBorders>
            <w:noWrap/>
            <w:vAlign w:val="center"/>
            <w:hideMark/>
          </w:tcPr>
          <w:p w14:paraId="0908CE97"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31EA1D25"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19" w:type="pct"/>
            <w:tcBorders>
              <w:top w:val="nil"/>
              <w:left w:val="nil"/>
              <w:bottom w:val="nil"/>
              <w:right w:val="nil"/>
            </w:tcBorders>
            <w:noWrap/>
            <w:vAlign w:val="center"/>
            <w:hideMark/>
          </w:tcPr>
          <w:p w14:paraId="7D6CE74F"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5F62CC69" w14:textId="77777777" w:rsidTr="00D87550">
        <w:trPr>
          <w:trHeight w:val="255"/>
        </w:trPr>
        <w:tc>
          <w:tcPr>
            <w:tcW w:w="3377" w:type="pct"/>
            <w:tcBorders>
              <w:top w:val="nil"/>
              <w:left w:val="nil"/>
              <w:bottom w:val="nil"/>
              <w:right w:val="nil"/>
            </w:tcBorders>
            <w:noWrap/>
            <w:vAlign w:val="center"/>
            <w:hideMark/>
          </w:tcPr>
          <w:p w14:paraId="5C6A53A6"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82" w:type="pct"/>
            <w:tcBorders>
              <w:top w:val="nil"/>
              <w:left w:val="nil"/>
              <w:bottom w:val="nil"/>
              <w:right w:val="nil"/>
            </w:tcBorders>
            <w:noWrap/>
            <w:vAlign w:val="center"/>
            <w:hideMark/>
          </w:tcPr>
          <w:p w14:paraId="7617E004"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219" w:type="pct"/>
            <w:tcBorders>
              <w:top w:val="nil"/>
              <w:left w:val="nil"/>
              <w:bottom w:val="nil"/>
              <w:right w:val="nil"/>
            </w:tcBorders>
            <w:noWrap/>
            <w:vAlign w:val="center"/>
            <w:hideMark/>
          </w:tcPr>
          <w:p w14:paraId="0CF9FC0E"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6D476FA3"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19" w:type="pct"/>
            <w:tcBorders>
              <w:top w:val="nil"/>
              <w:left w:val="nil"/>
              <w:bottom w:val="nil"/>
              <w:right w:val="nil"/>
            </w:tcBorders>
            <w:noWrap/>
            <w:vAlign w:val="center"/>
            <w:hideMark/>
          </w:tcPr>
          <w:p w14:paraId="6892B626"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5DED413A" w14:textId="77777777" w:rsidTr="00D87550">
        <w:trPr>
          <w:trHeight w:val="255"/>
        </w:trPr>
        <w:tc>
          <w:tcPr>
            <w:tcW w:w="3377" w:type="pct"/>
            <w:tcBorders>
              <w:top w:val="nil"/>
              <w:left w:val="nil"/>
              <w:bottom w:val="nil"/>
              <w:right w:val="nil"/>
            </w:tcBorders>
            <w:noWrap/>
            <w:vAlign w:val="center"/>
            <w:hideMark/>
          </w:tcPr>
          <w:p w14:paraId="6C48B49B"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Outorgas de jogos lotéricos</w:t>
            </w:r>
          </w:p>
        </w:tc>
        <w:tc>
          <w:tcPr>
            <w:tcW w:w="82" w:type="pct"/>
            <w:tcBorders>
              <w:top w:val="nil"/>
              <w:left w:val="nil"/>
              <w:bottom w:val="nil"/>
              <w:right w:val="nil"/>
            </w:tcBorders>
            <w:noWrap/>
            <w:vAlign w:val="center"/>
            <w:hideMark/>
          </w:tcPr>
          <w:p w14:paraId="3C457DB1"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50F3D1FB"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34CB6C7E"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4.500.000 </w:t>
            </w:r>
          </w:p>
        </w:tc>
        <w:tc>
          <w:tcPr>
            <w:tcW w:w="619" w:type="pct"/>
            <w:tcBorders>
              <w:top w:val="nil"/>
              <w:left w:val="nil"/>
              <w:bottom w:val="nil"/>
              <w:right w:val="nil"/>
            </w:tcBorders>
            <w:noWrap/>
            <w:vAlign w:val="center"/>
            <w:hideMark/>
          </w:tcPr>
          <w:p w14:paraId="7B0DDD3C"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p>
        </w:tc>
      </w:tr>
      <w:tr w:rsidR="00D87550" w:rsidRPr="00D87550" w14:paraId="16DC1151" w14:textId="77777777" w:rsidTr="00D87550">
        <w:trPr>
          <w:trHeight w:val="255"/>
        </w:trPr>
        <w:tc>
          <w:tcPr>
            <w:tcW w:w="3377" w:type="pct"/>
            <w:tcBorders>
              <w:top w:val="nil"/>
              <w:left w:val="nil"/>
              <w:bottom w:val="nil"/>
              <w:right w:val="nil"/>
            </w:tcBorders>
            <w:noWrap/>
            <w:vAlign w:val="center"/>
            <w:hideMark/>
          </w:tcPr>
          <w:p w14:paraId="71EC46C7"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Adiantamento para futuro aumento de capital</w:t>
            </w:r>
          </w:p>
        </w:tc>
        <w:tc>
          <w:tcPr>
            <w:tcW w:w="82" w:type="pct"/>
            <w:tcBorders>
              <w:top w:val="nil"/>
              <w:left w:val="nil"/>
              <w:bottom w:val="nil"/>
              <w:right w:val="nil"/>
            </w:tcBorders>
            <w:noWrap/>
            <w:vAlign w:val="center"/>
            <w:hideMark/>
          </w:tcPr>
          <w:p w14:paraId="1064320A"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6EE052EA"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2ED9DE6F"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54.679.217 </w:t>
            </w:r>
          </w:p>
        </w:tc>
        <w:tc>
          <w:tcPr>
            <w:tcW w:w="619" w:type="pct"/>
            <w:tcBorders>
              <w:top w:val="nil"/>
              <w:left w:val="nil"/>
              <w:bottom w:val="nil"/>
              <w:right w:val="nil"/>
            </w:tcBorders>
            <w:noWrap/>
            <w:vAlign w:val="center"/>
            <w:hideMark/>
          </w:tcPr>
          <w:p w14:paraId="773712E0"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 xml:space="preserve">57.233.360 </w:t>
            </w:r>
          </w:p>
        </w:tc>
      </w:tr>
      <w:tr w:rsidR="00D87550" w:rsidRPr="00D87550" w14:paraId="344FC15B" w14:textId="77777777" w:rsidTr="00D87550">
        <w:trPr>
          <w:trHeight w:val="255"/>
        </w:trPr>
        <w:tc>
          <w:tcPr>
            <w:tcW w:w="3377" w:type="pct"/>
            <w:tcBorders>
              <w:top w:val="nil"/>
              <w:left w:val="nil"/>
              <w:bottom w:val="nil"/>
              <w:right w:val="nil"/>
            </w:tcBorders>
            <w:noWrap/>
            <w:vAlign w:val="center"/>
            <w:hideMark/>
          </w:tcPr>
          <w:p w14:paraId="1391004F" w14:textId="77777777" w:rsidR="00D87550" w:rsidRPr="00D87550" w:rsidRDefault="00D87550" w:rsidP="00D87550">
            <w:pPr>
              <w:spacing w:after="0" w:line="240" w:lineRule="auto"/>
              <w:jc w:val="right"/>
              <w:rPr>
                <w:rFonts w:ascii="Century" w:eastAsia="Times New Roman" w:hAnsi="Century" w:cs="Calibri"/>
                <w:sz w:val="20"/>
                <w:szCs w:val="20"/>
                <w:lang w:eastAsia="pt-BR"/>
              </w:rPr>
            </w:pPr>
          </w:p>
        </w:tc>
        <w:tc>
          <w:tcPr>
            <w:tcW w:w="82" w:type="pct"/>
            <w:tcBorders>
              <w:top w:val="nil"/>
              <w:left w:val="nil"/>
              <w:bottom w:val="nil"/>
              <w:right w:val="nil"/>
            </w:tcBorders>
            <w:noWrap/>
            <w:vAlign w:val="center"/>
            <w:hideMark/>
          </w:tcPr>
          <w:p w14:paraId="3CC58CCC"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219" w:type="pct"/>
            <w:tcBorders>
              <w:top w:val="nil"/>
              <w:left w:val="nil"/>
              <w:bottom w:val="nil"/>
              <w:right w:val="nil"/>
            </w:tcBorders>
            <w:noWrap/>
            <w:vAlign w:val="center"/>
            <w:hideMark/>
          </w:tcPr>
          <w:p w14:paraId="01B74D7F"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7024BD60"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19" w:type="pct"/>
            <w:tcBorders>
              <w:top w:val="nil"/>
              <w:left w:val="nil"/>
              <w:bottom w:val="nil"/>
              <w:right w:val="nil"/>
            </w:tcBorders>
            <w:noWrap/>
            <w:vAlign w:val="center"/>
            <w:hideMark/>
          </w:tcPr>
          <w:p w14:paraId="4C820D94"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63421F74" w14:textId="77777777" w:rsidTr="00D87550">
        <w:trPr>
          <w:trHeight w:val="255"/>
        </w:trPr>
        <w:tc>
          <w:tcPr>
            <w:tcW w:w="3459" w:type="pct"/>
            <w:gridSpan w:val="2"/>
            <w:tcBorders>
              <w:top w:val="single" w:sz="4" w:space="0" w:color="auto"/>
              <w:left w:val="nil"/>
              <w:bottom w:val="single" w:sz="4" w:space="0" w:color="auto"/>
              <w:right w:val="nil"/>
            </w:tcBorders>
            <w:noWrap/>
            <w:vAlign w:val="center"/>
            <w:hideMark/>
          </w:tcPr>
          <w:p w14:paraId="72B98AAF"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CAIXA LIQUIDO USADO NA ATIVIDADE FINANCIAMENTO (+3)</w:t>
            </w:r>
          </w:p>
        </w:tc>
        <w:tc>
          <w:tcPr>
            <w:tcW w:w="219" w:type="pct"/>
            <w:tcBorders>
              <w:top w:val="single" w:sz="4" w:space="0" w:color="auto"/>
              <w:left w:val="nil"/>
              <w:bottom w:val="single" w:sz="4" w:space="0" w:color="auto"/>
              <w:right w:val="nil"/>
            </w:tcBorders>
            <w:noWrap/>
            <w:vAlign w:val="center"/>
            <w:hideMark/>
          </w:tcPr>
          <w:p w14:paraId="530A587B"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w:t>
            </w:r>
          </w:p>
        </w:tc>
        <w:tc>
          <w:tcPr>
            <w:tcW w:w="702" w:type="pct"/>
            <w:tcBorders>
              <w:top w:val="single" w:sz="4" w:space="0" w:color="auto"/>
              <w:left w:val="nil"/>
              <w:bottom w:val="single" w:sz="4" w:space="0" w:color="auto"/>
              <w:right w:val="nil"/>
            </w:tcBorders>
            <w:noWrap/>
            <w:vAlign w:val="center"/>
            <w:hideMark/>
          </w:tcPr>
          <w:p w14:paraId="4EF138BB" w14:textId="77777777" w:rsidR="00D87550" w:rsidRPr="00D87550" w:rsidRDefault="00D87550" w:rsidP="00D87550">
            <w:pPr>
              <w:spacing w:after="0" w:line="240" w:lineRule="auto"/>
              <w:jc w:val="right"/>
              <w:rPr>
                <w:rFonts w:ascii="Century" w:eastAsia="Times New Roman" w:hAnsi="Century" w:cs="Calibri"/>
                <w:b/>
                <w:bCs/>
                <w:sz w:val="20"/>
                <w:szCs w:val="20"/>
                <w:lang w:eastAsia="pt-BR"/>
              </w:rPr>
            </w:pPr>
            <w:r w:rsidRPr="00D87550">
              <w:rPr>
                <w:rFonts w:ascii="Century" w:eastAsia="Times New Roman" w:hAnsi="Century" w:cs="Calibri"/>
                <w:b/>
                <w:bCs/>
                <w:sz w:val="20"/>
                <w:szCs w:val="20"/>
                <w:lang w:eastAsia="pt-BR"/>
              </w:rPr>
              <w:t xml:space="preserve">59.179.217 </w:t>
            </w:r>
          </w:p>
        </w:tc>
        <w:tc>
          <w:tcPr>
            <w:tcW w:w="619" w:type="pct"/>
            <w:tcBorders>
              <w:top w:val="single" w:sz="4" w:space="0" w:color="auto"/>
              <w:left w:val="nil"/>
              <w:bottom w:val="single" w:sz="4" w:space="0" w:color="auto"/>
              <w:right w:val="nil"/>
            </w:tcBorders>
            <w:noWrap/>
            <w:vAlign w:val="center"/>
            <w:hideMark/>
          </w:tcPr>
          <w:p w14:paraId="171A33CE" w14:textId="77777777" w:rsidR="00D87550" w:rsidRPr="00D87550" w:rsidRDefault="00D87550" w:rsidP="00D87550">
            <w:pPr>
              <w:spacing w:after="0" w:line="240" w:lineRule="auto"/>
              <w:jc w:val="right"/>
              <w:rPr>
                <w:rFonts w:ascii="Century" w:eastAsia="Times New Roman" w:hAnsi="Century" w:cs="Calibri"/>
                <w:b/>
                <w:bCs/>
                <w:sz w:val="20"/>
                <w:szCs w:val="20"/>
                <w:lang w:eastAsia="pt-BR"/>
              </w:rPr>
            </w:pPr>
            <w:r w:rsidRPr="00D87550">
              <w:rPr>
                <w:rFonts w:ascii="Century" w:eastAsia="Times New Roman" w:hAnsi="Century" w:cs="Calibri"/>
                <w:b/>
                <w:bCs/>
                <w:sz w:val="20"/>
                <w:szCs w:val="20"/>
                <w:lang w:eastAsia="pt-BR"/>
              </w:rPr>
              <w:t xml:space="preserve">57.233.360 </w:t>
            </w:r>
          </w:p>
        </w:tc>
      </w:tr>
      <w:tr w:rsidR="00D87550" w:rsidRPr="00D87550" w14:paraId="685A5DED" w14:textId="77777777" w:rsidTr="00D87550">
        <w:trPr>
          <w:trHeight w:val="255"/>
        </w:trPr>
        <w:tc>
          <w:tcPr>
            <w:tcW w:w="3377" w:type="pct"/>
            <w:tcBorders>
              <w:top w:val="nil"/>
              <w:left w:val="nil"/>
              <w:bottom w:val="nil"/>
              <w:right w:val="nil"/>
            </w:tcBorders>
            <w:noWrap/>
            <w:vAlign w:val="center"/>
            <w:hideMark/>
          </w:tcPr>
          <w:p w14:paraId="7ABD9920" w14:textId="77777777" w:rsidR="00D87550" w:rsidRPr="00D87550" w:rsidRDefault="00D87550" w:rsidP="00D87550">
            <w:pPr>
              <w:spacing w:after="0" w:line="240" w:lineRule="auto"/>
              <w:jc w:val="right"/>
              <w:rPr>
                <w:rFonts w:ascii="Century" w:eastAsia="Times New Roman" w:hAnsi="Century" w:cs="Calibri"/>
                <w:b/>
                <w:bCs/>
                <w:sz w:val="20"/>
                <w:szCs w:val="20"/>
                <w:lang w:eastAsia="pt-BR"/>
              </w:rPr>
            </w:pPr>
          </w:p>
        </w:tc>
        <w:tc>
          <w:tcPr>
            <w:tcW w:w="82" w:type="pct"/>
            <w:tcBorders>
              <w:top w:val="nil"/>
              <w:left w:val="nil"/>
              <w:bottom w:val="nil"/>
              <w:right w:val="nil"/>
            </w:tcBorders>
            <w:noWrap/>
            <w:vAlign w:val="center"/>
            <w:hideMark/>
          </w:tcPr>
          <w:p w14:paraId="56A867B8"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219" w:type="pct"/>
            <w:tcBorders>
              <w:top w:val="nil"/>
              <w:left w:val="nil"/>
              <w:bottom w:val="nil"/>
              <w:right w:val="nil"/>
            </w:tcBorders>
            <w:noWrap/>
            <w:vAlign w:val="center"/>
            <w:hideMark/>
          </w:tcPr>
          <w:p w14:paraId="159FEADE"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33020524"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19" w:type="pct"/>
            <w:tcBorders>
              <w:top w:val="nil"/>
              <w:left w:val="nil"/>
              <w:bottom w:val="nil"/>
              <w:right w:val="nil"/>
            </w:tcBorders>
            <w:noWrap/>
            <w:vAlign w:val="center"/>
            <w:hideMark/>
          </w:tcPr>
          <w:p w14:paraId="6F8BFC49"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0664A73D" w14:textId="77777777" w:rsidTr="00D87550">
        <w:trPr>
          <w:trHeight w:val="255"/>
        </w:trPr>
        <w:tc>
          <w:tcPr>
            <w:tcW w:w="3377" w:type="pct"/>
            <w:tcBorders>
              <w:top w:val="nil"/>
              <w:left w:val="nil"/>
              <w:bottom w:val="nil"/>
              <w:right w:val="nil"/>
            </w:tcBorders>
            <w:noWrap/>
            <w:vAlign w:val="center"/>
            <w:hideMark/>
          </w:tcPr>
          <w:p w14:paraId="6DD22C08"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Aumento ou (diminuição) caixa e equivalente (-1-2+3)</w:t>
            </w:r>
          </w:p>
        </w:tc>
        <w:tc>
          <w:tcPr>
            <w:tcW w:w="82" w:type="pct"/>
            <w:tcBorders>
              <w:top w:val="nil"/>
              <w:left w:val="nil"/>
              <w:bottom w:val="nil"/>
              <w:right w:val="nil"/>
            </w:tcBorders>
            <w:noWrap/>
            <w:vAlign w:val="center"/>
            <w:hideMark/>
          </w:tcPr>
          <w:p w14:paraId="32F00E11"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p>
        </w:tc>
        <w:tc>
          <w:tcPr>
            <w:tcW w:w="219" w:type="pct"/>
            <w:tcBorders>
              <w:top w:val="nil"/>
              <w:left w:val="nil"/>
              <w:bottom w:val="nil"/>
              <w:right w:val="nil"/>
            </w:tcBorders>
            <w:noWrap/>
            <w:vAlign w:val="center"/>
            <w:hideMark/>
          </w:tcPr>
          <w:p w14:paraId="3E587007"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61CE8BD1" w14:textId="77777777" w:rsidR="00D87550" w:rsidRPr="00D87550" w:rsidRDefault="00D87550" w:rsidP="00D87550">
            <w:pPr>
              <w:spacing w:after="0" w:line="240" w:lineRule="auto"/>
              <w:jc w:val="right"/>
              <w:rPr>
                <w:rFonts w:ascii="Century" w:eastAsia="Times New Roman" w:hAnsi="Century" w:cs="Calibri"/>
                <w:b/>
                <w:bCs/>
                <w:sz w:val="20"/>
                <w:szCs w:val="20"/>
                <w:lang w:eastAsia="pt-BR"/>
              </w:rPr>
            </w:pPr>
            <w:r w:rsidRPr="00D87550">
              <w:rPr>
                <w:rFonts w:ascii="Century" w:eastAsia="Times New Roman" w:hAnsi="Century" w:cs="Calibri"/>
                <w:b/>
                <w:bCs/>
                <w:sz w:val="20"/>
                <w:szCs w:val="20"/>
                <w:lang w:eastAsia="pt-BR"/>
              </w:rPr>
              <w:t xml:space="preserve">2.790.160 </w:t>
            </w:r>
          </w:p>
        </w:tc>
        <w:tc>
          <w:tcPr>
            <w:tcW w:w="619" w:type="pct"/>
            <w:tcBorders>
              <w:top w:val="nil"/>
              <w:left w:val="nil"/>
              <w:bottom w:val="nil"/>
              <w:right w:val="nil"/>
            </w:tcBorders>
            <w:noWrap/>
            <w:vAlign w:val="center"/>
            <w:hideMark/>
          </w:tcPr>
          <w:p w14:paraId="4BD6B182" w14:textId="77777777" w:rsidR="00D87550" w:rsidRPr="00D87550" w:rsidRDefault="00D87550" w:rsidP="00D87550">
            <w:pPr>
              <w:spacing w:after="0" w:line="240" w:lineRule="auto"/>
              <w:jc w:val="right"/>
              <w:rPr>
                <w:rFonts w:ascii="Century" w:eastAsia="Times New Roman" w:hAnsi="Century" w:cs="Calibri"/>
                <w:b/>
                <w:bCs/>
                <w:sz w:val="20"/>
                <w:szCs w:val="20"/>
                <w:lang w:eastAsia="pt-BR"/>
              </w:rPr>
            </w:pPr>
            <w:r w:rsidRPr="00D87550">
              <w:rPr>
                <w:rFonts w:ascii="Century" w:eastAsia="Times New Roman" w:hAnsi="Century" w:cs="Calibri"/>
                <w:b/>
                <w:bCs/>
                <w:color w:val="FF0000"/>
                <w:sz w:val="20"/>
                <w:szCs w:val="20"/>
                <w:lang w:eastAsia="pt-BR"/>
              </w:rPr>
              <w:t>(1.113.960)</w:t>
            </w:r>
          </w:p>
        </w:tc>
      </w:tr>
      <w:tr w:rsidR="00D87550" w:rsidRPr="00D87550" w14:paraId="7AC17690" w14:textId="77777777" w:rsidTr="00D87550">
        <w:trPr>
          <w:trHeight w:val="255"/>
        </w:trPr>
        <w:tc>
          <w:tcPr>
            <w:tcW w:w="3377" w:type="pct"/>
            <w:tcBorders>
              <w:top w:val="nil"/>
              <w:left w:val="nil"/>
              <w:bottom w:val="nil"/>
              <w:right w:val="nil"/>
            </w:tcBorders>
            <w:noWrap/>
            <w:vAlign w:val="center"/>
            <w:hideMark/>
          </w:tcPr>
          <w:p w14:paraId="5E708EEC"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Caixa equivalente no início do período</w:t>
            </w:r>
          </w:p>
        </w:tc>
        <w:tc>
          <w:tcPr>
            <w:tcW w:w="82" w:type="pct"/>
            <w:tcBorders>
              <w:top w:val="nil"/>
              <w:left w:val="nil"/>
              <w:bottom w:val="nil"/>
              <w:right w:val="nil"/>
            </w:tcBorders>
            <w:noWrap/>
            <w:vAlign w:val="center"/>
            <w:hideMark/>
          </w:tcPr>
          <w:p w14:paraId="1F27E3AE"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58564BEC"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01AB820B"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 xml:space="preserve">18.276.183 </w:t>
            </w:r>
          </w:p>
        </w:tc>
        <w:tc>
          <w:tcPr>
            <w:tcW w:w="619" w:type="pct"/>
            <w:tcBorders>
              <w:top w:val="nil"/>
              <w:left w:val="nil"/>
              <w:bottom w:val="nil"/>
              <w:right w:val="nil"/>
            </w:tcBorders>
            <w:noWrap/>
            <w:vAlign w:val="center"/>
            <w:hideMark/>
          </w:tcPr>
          <w:p w14:paraId="2BA8834A"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 xml:space="preserve">19.390.144 </w:t>
            </w:r>
          </w:p>
        </w:tc>
      </w:tr>
      <w:tr w:rsidR="00D87550" w:rsidRPr="00D87550" w14:paraId="127B426D" w14:textId="77777777" w:rsidTr="00D87550">
        <w:trPr>
          <w:trHeight w:val="255"/>
        </w:trPr>
        <w:tc>
          <w:tcPr>
            <w:tcW w:w="3377" w:type="pct"/>
            <w:tcBorders>
              <w:top w:val="nil"/>
              <w:left w:val="nil"/>
              <w:bottom w:val="nil"/>
              <w:right w:val="nil"/>
            </w:tcBorders>
            <w:noWrap/>
            <w:vAlign w:val="center"/>
            <w:hideMark/>
          </w:tcPr>
          <w:p w14:paraId="6AEE6A7F"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Caixa equivalente no fim do período</w:t>
            </w:r>
          </w:p>
        </w:tc>
        <w:tc>
          <w:tcPr>
            <w:tcW w:w="82" w:type="pct"/>
            <w:tcBorders>
              <w:top w:val="nil"/>
              <w:left w:val="nil"/>
              <w:bottom w:val="nil"/>
              <w:right w:val="nil"/>
            </w:tcBorders>
            <w:noWrap/>
            <w:vAlign w:val="center"/>
            <w:hideMark/>
          </w:tcPr>
          <w:p w14:paraId="57787176"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219" w:type="pct"/>
            <w:tcBorders>
              <w:top w:val="nil"/>
              <w:left w:val="nil"/>
              <w:bottom w:val="nil"/>
              <w:right w:val="nil"/>
            </w:tcBorders>
            <w:noWrap/>
            <w:vAlign w:val="center"/>
            <w:hideMark/>
          </w:tcPr>
          <w:p w14:paraId="42A5A84A"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6835F25A"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 xml:space="preserve">21.066.343 </w:t>
            </w:r>
          </w:p>
        </w:tc>
        <w:tc>
          <w:tcPr>
            <w:tcW w:w="619" w:type="pct"/>
            <w:tcBorders>
              <w:top w:val="nil"/>
              <w:left w:val="nil"/>
              <w:bottom w:val="nil"/>
              <w:right w:val="nil"/>
            </w:tcBorders>
            <w:noWrap/>
            <w:vAlign w:val="center"/>
            <w:hideMark/>
          </w:tcPr>
          <w:p w14:paraId="789F4DDE" w14:textId="77777777" w:rsidR="00D87550" w:rsidRPr="00D87550" w:rsidRDefault="00D87550" w:rsidP="00D87550">
            <w:pPr>
              <w:spacing w:after="0" w:line="240" w:lineRule="auto"/>
              <w:jc w:val="right"/>
              <w:rPr>
                <w:rFonts w:ascii="Century" w:eastAsia="Times New Roman" w:hAnsi="Century" w:cs="Calibri"/>
                <w:sz w:val="20"/>
                <w:szCs w:val="20"/>
                <w:lang w:eastAsia="pt-BR"/>
              </w:rPr>
            </w:pPr>
            <w:r w:rsidRPr="00D87550">
              <w:rPr>
                <w:rFonts w:ascii="Century" w:eastAsia="Times New Roman" w:hAnsi="Century" w:cs="Calibri"/>
                <w:sz w:val="20"/>
                <w:szCs w:val="20"/>
                <w:lang w:eastAsia="pt-BR"/>
              </w:rPr>
              <w:t xml:space="preserve">18.276.183 </w:t>
            </w:r>
          </w:p>
        </w:tc>
      </w:tr>
      <w:tr w:rsidR="00D87550" w:rsidRPr="00D87550" w14:paraId="4A50FC08" w14:textId="77777777" w:rsidTr="00D87550">
        <w:trPr>
          <w:trHeight w:val="255"/>
        </w:trPr>
        <w:tc>
          <w:tcPr>
            <w:tcW w:w="3377" w:type="pct"/>
            <w:tcBorders>
              <w:top w:val="nil"/>
              <w:left w:val="nil"/>
              <w:bottom w:val="nil"/>
              <w:right w:val="nil"/>
            </w:tcBorders>
            <w:noWrap/>
            <w:vAlign w:val="center"/>
            <w:hideMark/>
          </w:tcPr>
          <w:p w14:paraId="1DAFFDFB"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Variação caixa equivalente</w:t>
            </w:r>
          </w:p>
        </w:tc>
        <w:tc>
          <w:tcPr>
            <w:tcW w:w="82" w:type="pct"/>
            <w:tcBorders>
              <w:top w:val="nil"/>
              <w:left w:val="nil"/>
              <w:bottom w:val="nil"/>
              <w:right w:val="nil"/>
            </w:tcBorders>
            <w:noWrap/>
            <w:vAlign w:val="center"/>
            <w:hideMark/>
          </w:tcPr>
          <w:p w14:paraId="03AF4A5F"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p>
        </w:tc>
        <w:tc>
          <w:tcPr>
            <w:tcW w:w="219" w:type="pct"/>
            <w:tcBorders>
              <w:top w:val="nil"/>
              <w:left w:val="nil"/>
              <w:bottom w:val="nil"/>
              <w:right w:val="nil"/>
            </w:tcBorders>
            <w:noWrap/>
            <w:vAlign w:val="center"/>
            <w:hideMark/>
          </w:tcPr>
          <w:p w14:paraId="76C4DD39"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02" w:type="pct"/>
            <w:tcBorders>
              <w:top w:val="nil"/>
              <w:left w:val="nil"/>
              <w:bottom w:val="nil"/>
              <w:right w:val="nil"/>
            </w:tcBorders>
            <w:noWrap/>
            <w:vAlign w:val="center"/>
            <w:hideMark/>
          </w:tcPr>
          <w:p w14:paraId="7967D52E" w14:textId="77777777" w:rsidR="00D87550" w:rsidRPr="00D87550" w:rsidRDefault="00D87550" w:rsidP="00D87550">
            <w:pPr>
              <w:spacing w:after="0" w:line="240" w:lineRule="auto"/>
              <w:jc w:val="right"/>
              <w:rPr>
                <w:rFonts w:ascii="Century" w:eastAsia="Times New Roman" w:hAnsi="Century" w:cs="Calibri"/>
                <w:b/>
                <w:bCs/>
                <w:sz w:val="20"/>
                <w:szCs w:val="20"/>
                <w:lang w:eastAsia="pt-BR"/>
              </w:rPr>
            </w:pPr>
            <w:r w:rsidRPr="00D87550">
              <w:rPr>
                <w:rFonts w:ascii="Century" w:eastAsia="Times New Roman" w:hAnsi="Century" w:cs="Calibri"/>
                <w:b/>
                <w:bCs/>
                <w:sz w:val="20"/>
                <w:szCs w:val="20"/>
                <w:lang w:eastAsia="pt-BR"/>
              </w:rPr>
              <w:t xml:space="preserve">2.790.160 </w:t>
            </w:r>
          </w:p>
        </w:tc>
        <w:tc>
          <w:tcPr>
            <w:tcW w:w="619" w:type="pct"/>
            <w:tcBorders>
              <w:top w:val="nil"/>
              <w:left w:val="nil"/>
              <w:bottom w:val="nil"/>
              <w:right w:val="nil"/>
            </w:tcBorders>
            <w:noWrap/>
            <w:vAlign w:val="center"/>
            <w:hideMark/>
          </w:tcPr>
          <w:p w14:paraId="1F6A411F" w14:textId="77777777" w:rsidR="00D87550" w:rsidRPr="00D87550" w:rsidRDefault="00D87550" w:rsidP="00D87550">
            <w:pPr>
              <w:spacing w:after="0" w:line="240" w:lineRule="auto"/>
              <w:jc w:val="right"/>
              <w:rPr>
                <w:rFonts w:ascii="Century" w:eastAsia="Times New Roman" w:hAnsi="Century" w:cs="Calibri"/>
                <w:b/>
                <w:bCs/>
                <w:sz w:val="20"/>
                <w:szCs w:val="20"/>
                <w:lang w:eastAsia="pt-BR"/>
              </w:rPr>
            </w:pPr>
            <w:r w:rsidRPr="00D87550">
              <w:rPr>
                <w:rFonts w:ascii="Century" w:eastAsia="Times New Roman" w:hAnsi="Century" w:cs="Calibri"/>
                <w:b/>
                <w:bCs/>
                <w:color w:val="FF0000"/>
                <w:sz w:val="20"/>
                <w:szCs w:val="20"/>
                <w:lang w:eastAsia="pt-BR"/>
              </w:rPr>
              <w:t>(1.113.960)</w:t>
            </w:r>
          </w:p>
        </w:tc>
      </w:tr>
    </w:tbl>
    <w:p w14:paraId="1FE19A79" w14:textId="2B2BE352" w:rsidR="001C6D59" w:rsidRDefault="001C6D59">
      <w:r>
        <w:br w:type="page"/>
      </w:r>
    </w:p>
    <w:p w14:paraId="4DBC9289" w14:textId="77777777" w:rsidR="00D87550" w:rsidRDefault="00D87550"/>
    <w:tbl>
      <w:tblPr>
        <w:tblW w:w="5000" w:type="pct"/>
        <w:tblCellMar>
          <w:left w:w="70" w:type="dxa"/>
          <w:right w:w="70" w:type="dxa"/>
        </w:tblCellMar>
        <w:tblLook w:val="04A0" w:firstRow="1" w:lastRow="0" w:firstColumn="1" w:lastColumn="0" w:noHBand="0" w:noVBand="1"/>
      </w:tblPr>
      <w:tblGrid>
        <w:gridCol w:w="6452"/>
        <w:gridCol w:w="147"/>
        <w:gridCol w:w="1932"/>
        <w:gridCol w:w="1935"/>
      </w:tblGrid>
      <w:tr w:rsidR="00D87550" w:rsidRPr="00D87550" w14:paraId="058F0154" w14:textId="77777777" w:rsidTr="00D87550">
        <w:trPr>
          <w:trHeight w:val="255"/>
        </w:trPr>
        <w:tc>
          <w:tcPr>
            <w:tcW w:w="5000" w:type="pct"/>
            <w:gridSpan w:val="4"/>
            <w:tcBorders>
              <w:top w:val="nil"/>
              <w:left w:val="nil"/>
              <w:bottom w:val="nil"/>
              <w:right w:val="nil"/>
            </w:tcBorders>
            <w:noWrap/>
            <w:vAlign w:val="center"/>
            <w:hideMark/>
          </w:tcPr>
          <w:p w14:paraId="2CEFC616"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DEMONSTRAÇÃO DE LUCROS (OU PREJUÍZOS) ACUMULADOS EM 31.12.2025</w:t>
            </w:r>
          </w:p>
        </w:tc>
      </w:tr>
      <w:tr w:rsidR="00D87550" w:rsidRPr="00D87550" w14:paraId="4A7D2F4E" w14:textId="77777777" w:rsidTr="00D87550">
        <w:trPr>
          <w:trHeight w:val="255"/>
        </w:trPr>
        <w:tc>
          <w:tcPr>
            <w:tcW w:w="3087" w:type="pct"/>
            <w:tcBorders>
              <w:top w:val="nil"/>
              <w:left w:val="nil"/>
              <w:bottom w:val="nil"/>
              <w:right w:val="nil"/>
            </w:tcBorders>
            <w:noWrap/>
            <w:vAlign w:val="center"/>
            <w:hideMark/>
          </w:tcPr>
          <w:p w14:paraId="5A32A3FE"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p>
        </w:tc>
        <w:tc>
          <w:tcPr>
            <w:tcW w:w="56" w:type="pct"/>
            <w:tcBorders>
              <w:top w:val="nil"/>
              <w:left w:val="nil"/>
              <w:bottom w:val="nil"/>
              <w:right w:val="nil"/>
            </w:tcBorders>
            <w:noWrap/>
            <w:vAlign w:val="center"/>
            <w:hideMark/>
          </w:tcPr>
          <w:p w14:paraId="63CA351E"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928" w:type="pct"/>
            <w:tcBorders>
              <w:top w:val="nil"/>
              <w:left w:val="nil"/>
              <w:bottom w:val="nil"/>
              <w:right w:val="nil"/>
            </w:tcBorders>
            <w:noWrap/>
            <w:vAlign w:val="center"/>
            <w:hideMark/>
          </w:tcPr>
          <w:p w14:paraId="5F64A4AD"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928" w:type="pct"/>
            <w:tcBorders>
              <w:top w:val="nil"/>
              <w:left w:val="nil"/>
              <w:bottom w:val="nil"/>
              <w:right w:val="nil"/>
            </w:tcBorders>
            <w:noWrap/>
            <w:vAlign w:val="center"/>
            <w:hideMark/>
          </w:tcPr>
          <w:p w14:paraId="330E6674" w14:textId="77777777" w:rsidR="00D87550" w:rsidRPr="00D87550" w:rsidRDefault="00D87550" w:rsidP="00D87550">
            <w:pPr>
              <w:spacing w:after="0" w:line="240" w:lineRule="auto"/>
              <w:jc w:val="right"/>
              <w:rPr>
                <w:rFonts w:ascii="Times New Roman" w:eastAsia="Times New Roman" w:hAnsi="Times New Roman" w:cs="Times New Roman"/>
                <w:sz w:val="20"/>
                <w:szCs w:val="20"/>
                <w:lang w:eastAsia="pt-BR"/>
              </w:rPr>
            </w:pPr>
          </w:p>
        </w:tc>
      </w:tr>
      <w:tr w:rsidR="00D87550" w:rsidRPr="00D87550" w14:paraId="2B12BBAF" w14:textId="77777777" w:rsidTr="00D87550">
        <w:trPr>
          <w:trHeight w:val="255"/>
        </w:trPr>
        <w:tc>
          <w:tcPr>
            <w:tcW w:w="3087" w:type="pct"/>
            <w:tcBorders>
              <w:top w:val="nil"/>
              <w:left w:val="nil"/>
              <w:bottom w:val="nil"/>
              <w:right w:val="nil"/>
            </w:tcBorders>
            <w:noWrap/>
            <w:vAlign w:val="center"/>
            <w:hideMark/>
          </w:tcPr>
          <w:p w14:paraId="3F8CA1E5" w14:textId="77777777" w:rsidR="00D87550" w:rsidRPr="00D87550" w:rsidRDefault="00D87550" w:rsidP="00D87550">
            <w:pPr>
              <w:spacing w:after="0" w:line="240" w:lineRule="auto"/>
              <w:jc w:val="right"/>
              <w:rPr>
                <w:rFonts w:ascii="Times New Roman" w:eastAsia="Times New Roman" w:hAnsi="Times New Roman" w:cs="Times New Roman"/>
                <w:sz w:val="20"/>
                <w:szCs w:val="20"/>
                <w:lang w:eastAsia="pt-BR"/>
              </w:rPr>
            </w:pPr>
          </w:p>
        </w:tc>
        <w:tc>
          <w:tcPr>
            <w:tcW w:w="56" w:type="pct"/>
            <w:tcBorders>
              <w:top w:val="nil"/>
              <w:left w:val="nil"/>
              <w:bottom w:val="nil"/>
              <w:right w:val="nil"/>
            </w:tcBorders>
            <w:noWrap/>
            <w:vAlign w:val="center"/>
            <w:hideMark/>
          </w:tcPr>
          <w:p w14:paraId="112BB0E0"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928" w:type="pct"/>
            <w:tcBorders>
              <w:top w:val="nil"/>
              <w:left w:val="nil"/>
              <w:bottom w:val="nil"/>
              <w:right w:val="nil"/>
            </w:tcBorders>
            <w:noWrap/>
            <w:vAlign w:val="center"/>
            <w:hideMark/>
          </w:tcPr>
          <w:p w14:paraId="542D3D51"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928" w:type="pct"/>
            <w:tcBorders>
              <w:top w:val="nil"/>
              <w:left w:val="nil"/>
              <w:bottom w:val="nil"/>
              <w:right w:val="nil"/>
            </w:tcBorders>
            <w:noWrap/>
            <w:vAlign w:val="center"/>
            <w:hideMark/>
          </w:tcPr>
          <w:p w14:paraId="66963240" w14:textId="77777777" w:rsidR="00D87550" w:rsidRPr="00D87550" w:rsidRDefault="00D87550" w:rsidP="00D87550">
            <w:pPr>
              <w:spacing w:after="0" w:line="240" w:lineRule="auto"/>
              <w:jc w:val="right"/>
              <w:rPr>
                <w:rFonts w:ascii="Times New Roman" w:eastAsia="Times New Roman" w:hAnsi="Times New Roman" w:cs="Times New Roman"/>
                <w:sz w:val="20"/>
                <w:szCs w:val="20"/>
                <w:lang w:eastAsia="pt-BR"/>
              </w:rPr>
            </w:pPr>
          </w:p>
        </w:tc>
      </w:tr>
      <w:tr w:rsidR="00D87550" w:rsidRPr="00D87550" w14:paraId="2DE2FD79" w14:textId="77777777" w:rsidTr="00D87550">
        <w:trPr>
          <w:trHeight w:val="255"/>
        </w:trPr>
        <w:tc>
          <w:tcPr>
            <w:tcW w:w="3087" w:type="pct"/>
            <w:tcBorders>
              <w:top w:val="nil"/>
              <w:left w:val="nil"/>
              <w:bottom w:val="nil"/>
              <w:right w:val="nil"/>
            </w:tcBorders>
            <w:noWrap/>
            <w:vAlign w:val="center"/>
            <w:hideMark/>
          </w:tcPr>
          <w:p w14:paraId="08B6FAC6" w14:textId="77777777" w:rsidR="00D87550" w:rsidRPr="00D87550" w:rsidRDefault="00D87550" w:rsidP="00D87550">
            <w:pPr>
              <w:spacing w:after="0" w:line="240" w:lineRule="auto"/>
              <w:jc w:val="right"/>
              <w:rPr>
                <w:rFonts w:ascii="Times New Roman" w:eastAsia="Times New Roman" w:hAnsi="Times New Roman" w:cs="Times New Roman"/>
                <w:sz w:val="20"/>
                <w:szCs w:val="20"/>
                <w:lang w:eastAsia="pt-BR"/>
              </w:rPr>
            </w:pPr>
          </w:p>
        </w:tc>
        <w:tc>
          <w:tcPr>
            <w:tcW w:w="56" w:type="pct"/>
            <w:tcBorders>
              <w:top w:val="nil"/>
              <w:left w:val="nil"/>
              <w:bottom w:val="nil"/>
              <w:right w:val="nil"/>
            </w:tcBorders>
            <w:noWrap/>
            <w:vAlign w:val="center"/>
            <w:hideMark/>
          </w:tcPr>
          <w:p w14:paraId="6EBF3B5E"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928" w:type="pct"/>
            <w:tcBorders>
              <w:top w:val="nil"/>
              <w:left w:val="nil"/>
              <w:bottom w:val="nil"/>
              <w:right w:val="nil"/>
            </w:tcBorders>
            <w:noWrap/>
            <w:vAlign w:val="center"/>
            <w:hideMark/>
          </w:tcPr>
          <w:p w14:paraId="39558341"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928" w:type="pct"/>
            <w:tcBorders>
              <w:top w:val="nil"/>
              <w:left w:val="nil"/>
              <w:bottom w:val="nil"/>
              <w:right w:val="nil"/>
            </w:tcBorders>
            <w:noWrap/>
            <w:vAlign w:val="center"/>
            <w:hideMark/>
          </w:tcPr>
          <w:p w14:paraId="20992311" w14:textId="77777777" w:rsidR="00D87550" w:rsidRPr="00D87550" w:rsidRDefault="00D87550" w:rsidP="00D87550">
            <w:pPr>
              <w:spacing w:after="0" w:line="240" w:lineRule="auto"/>
              <w:jc w:val="right"/>
              <w:rPr>
                <w:rFonts w:ascii="Times New Roman" w:eastAsia="Times New Roman" w:hAnsi="Times New Roman" w:cs="Times New Roman"/>
                <w:sz w:val="20"/>
                <w:szCs w:val="20"/>
                <w:lang w:eastAsia="pt-BR"/>
              </w:rPr>
            </w:pPr>
          </w:p>
        </w:tc>
      </w:tr>
      <w:tr w:rsidR="00D87550" w:rsidRPr="00D87550" w14:paraId="4E78BA18" w14:textId="77777777" w:rsidTr="00D87550">
        <w:trPr>
          <w:trHeight w:val="255"/>
        </w:trPr>
        <w:tc>
          <w:tcPr>
            <w:tcW w:w="3087" w:type="pct"/>
            <w:tcBorders>
              <w:top w:val="nil"/>
              <w:left w:val="nil"/>
              <w:bottom w:val="nil"/>
              <w:right w:val="nil"/>
            </w:tcBorders>
            <w:noWrap/>
            <w:vAlign w:val="center"/>
            <w:hideMark/>
          </w:tcPr>
          <w:p w14:paraId="7822CA91" w14:textId="77777777" w:rsidR="00D87550" w:rsidRPr="00D87550" w:rsidRDefault="00D87550" w:rsidP="00D87550">
            <w:pPr>
              <w:spacing w:after="0" w:line="240" w:lineRule="auto"/>
              <w:jc w:val="right"/>
              <w:rPr>
                <w:rFonts w:ascii="Times New Roman" w:eastAsia="Times New Roman" w:hAnsi="Times New Roman" w:cs="Times New Roman"/>
                <w:sz w:val="20"/>
                <w:szCs w:val="20"/>
                <w:lang w:eastAsia="pt-BR"/>
              </w:rPr>
            </w:pPr>
          </w:p>
        </w:tc>
        <w:tc>
          <w:tcPr>
            <w:tcW w:w="56" w:type="pct"/>
            <w:tcBorders>
              <w:top w:val="nil"/>
              <w:left w:val="nil"/>
              <w:bottom w:val="nil"/>
              <w:right w:val="nil"/>
            </w:tcBorders>
            <w:noWrap/>
            <w:vAlign w:val="center"/>
            <w:hideMark/>
          </w:tcPr>
          <w:p w14:paraId="69C2250B"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928" w:type="pct"/>
            <w:tcBorders>
              <w:top w:val="nil"/>
              <w:left w:val="nil"/>
              <w:bottom w:val="nil"/>
              <w:right w:val="nil"/>
            </w:tcBorders>
            <w:noWrap/>
            <w:vAlign w:val="center"/>
            <w:hideMark/>
          </w:tcPr>
          <w:p w14:paraId="58140750"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2025</w:t>
            </w:r>
          </w:p>
        </w:tc>
        <w:tc>
          <w:tcPr>
            <w:tcW w:w="928" w:type="pct"/>
            <w:tcBorders>
              <w:top w:val="nil"/>
              <w:left w:val="nil"/>
              <w:bottom w:val="nil"/>
              <w:right w:val="nil"/>
            </w:tcBorders>
            <w:noWrap/>
            <w:vAlign w:val="center"/>
            <w:hideMark/>
          </w:tcPr>
          <w:p w14:paraId="13696C9F"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2024</w:t>
            </w:r>
          </w:p>
        </w:tc>
      </w:tr>
      <w:tr w:rsidR="00D87550" w:rsidRPr="00D87550" w14:paraId="62439DF7" w14:textId="77777777" w:rsidTr="00D87550">
        <w:trPr>
          <w:trHeight w:val="60"/>
        </w:trPr>
        <w:tc>
          <w:tcPr>
            <w:tcW w:w="3087" w:type="pct"/>
            <w:tcBorders>
              <w:top w:val="nil"/>
              <w:left w:val="nil"/>
              <w:bottom w:val="nil"/>
              <w:right w:val="nil"/>
            </w:tcBorders>
            <w:noWrap/>
            <w:vAlign w:val="center"/>
            <w:hideMark/>
          </w:tcPr>
          <w:p w14:paraId="08881C9D"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p>
        </w:tc>
        <w:tc>
          <w:tcPr>
            <w:tcW w:w="56" w:type="pct"/>
            <w:tcBorders>
              <w:top w:val="nil"/>
              <w:left w:val="nil"/>
              <w:bottom w:val="nil"/>
              <w:right w:val="nil"/>
            </w:tcBorders>
            <w:noWrap/>
            <w:vAlign w:val="center"/>
            <w:hideMark/>
          </w:tcPr>
          <w:p w14:paraId="68BE6A1B"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928" w:type="pct"/>
            <w:tcBorders>
              <w:top w:val="nil"/>
              <w:left w:val="nil"/>
              <w:bottom w:val="nil"/>
              <w:right w:val="nil"/>
            </w:tcBorders>
            <w:noWrap/>
            <w:vAlign w:val="center"/>
            <w:hideMark/>
          </w:tcPr>
          <w:p w14:paraId="6BF97B0D"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928" w:type="pct"/>
            <w:tcBorders>
              <w:top w:val="nil"/>
              <w:left w:val="nil"/>
              <w:bottom w:val="nil"/>
              <w:right w:val="nil"/>
            </w:tcBorders>
            <w:noWrap/>
            <w:vAlign w:val="center"/>
            <w:hideMark/>
          </w:tcPr>
          <w:p w14:paraId="5CF29B7B" w14:textId="77777777" w:rsidR="00D87550" w:rsidRPr="00D87550" w:rsidRDefault="00D87550" w:rsidP="00D87550">
            <w:pPr>
              <w:spacing w:after="0" w:line="240" w:lineRule="auto"/>
              <w:jc w:val="center"/>
              <w:rPr>
                <w:rFonts w:ascii="Times New Roman" w:eastAsia="Times New Roman" w:hAnsi="Times New Roman" w:cs="Times New Roman"/>
                <w:sz w:val="20"/>
                <w:szCs w:val="20"/>
                <w:lang w:eastAsia="pt-BR"/>
              </w:rPr>
            </w:pPr>
          </w:p>
        </w:tc>
      </w:tr>
      <w:tr w:rsidR="00D87550" w:rsidRPr="00D87550" w14:paraId="4EA41E03" w14:textId="77777777" w:rsidTr="00D87550">
        <w:trPr>
          <w:trHeight w:val="255"/>
        </w:trPr>
        <w:tc>
          <w:tcPr>
            <w:tcW w:w="3087" w:type="pct"/>
            <w:tcBorders>
              <w:top w:val="nil"/>
              <w:left w:val="nil"/>
              <w:bottom w:val="nil"/>
              <w:right w:val="nil"/>
            </w:tcBorders>
            <w:noWrap/>
            <w:vAlign w:val="center"/>
            <w:hideMark/>
          </w:tcPr>
          <w:p w14:paraId="570FF63A"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SALDO DO INÍCIO DO EXERCÍCIO</w:t>
            </w:r>
          </w:p>
        </w:tc>
        <w:tc>
          <w:tcPr>
            <w:tcW w:w="56" w:type="pct"/>
            <w:tcBorders>
              <w:top w:val="nil"/>
              <w:left w:val="nil"/>
              <w:bottom w:val="nil"/>
              <w:right w:val="nil"/>
            </w:tcBorders>
            <w:noWrap/>
            <w:vAlign w:val="center"/>
            <w:hideMark/>
          </w:tcPr>
          <w:p w14:paraId="1A6605AF"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928" w:type="pct"/>
            <w:tcBorders>
              <w:top w:val="nil"/>
              <w:left w:val="nil"/>
              <w:bottom w:val="nil"/>
              <w:right w:val="nil"/>
            </w:tcBorders>
            <w:noWrap/>
            <w:vAlign w:val="center"/>
            <w:hideMark/>
          </w:tcPr>
          <w:p w14:paraId="56F4D2A7"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(435.732.747)</w:t>
            </w:r>
          </w:p>
        </w:tc>
        <w:tc>
          <w:tcPr>
            <w:tcW w:w="928" w:type="pct"/>
            <w:tcBorders>
              <w:top w:val="nil"/>
              <w:left w:val="nil"/>
              <w:bottom w:val="nil"/>
              <w:right w:val="nil"/>
            </w:tcBorders>
            <w:noWrap/>
            <w:vAlign w:val="center"/>
            <w:hideMark/>
          </w:tcPr>
          <w:p w14:paraId="094246D5"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(375.675.722)</w:t>
            </w:r>
          </w:p>
        </w:tc>
      </w:tr>
      <w:tr w:rsidR="00D87550" w:rsidRPr="00D87550" w14:paraId="40008953" w14:textId="77777777" w:rsidTr="00D87550">
        <w:trPr>
          <w:trHeight w:val="255"/>
        </w:trPr>
        <w:tc>
          <w:tcPr>
            <w:tcW w:w="3087" w:type="pct"/>
            <w:tcBorders>
              <w:top w:val="nil"/>
              <w:left w:val="nil"/>
              <w:bottom w:val="nil"/>
              <w:right w:val="nil"/>
            </w:tcBorders>
            <w:noWrap/>
            <w:vAlign w:val="center"/>
            <w:hideMark/>
          </w:tcPr>
          <w:p w14:paraId="0920419E"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AJUSTES NO EXERCÍCIO</w:t>
            </w:r>
          </w:p>
        </w:tc>
        <w:tc>
          <w:tcPr>
            <w:tcW w:w="56" w:type="pct"/>
            <w:tcBorders>
              <w:top w:val="nil"/>
              <w:left w:val="nil"/>
              <w:bottom w:val="nil"/>
              <w:right w:val="nil"/>
            </w:tcBorders>
            <w:noWrap/>
            <w:vAlign w:val="center"/>
            <w:hideMark/>
          </w:tcPr>
          <w:p w14:paraId="35820CC9"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928" w:type="pct"/>
            <w:tcBorders>
              <w:top w:val="nil"/>
              <w:left w:val="nil"/>
              <w:bottom w:val="nil"/>
              <w:right w:val="nil"/>
            </w:tcBorders>
            <w:noWrap/>
            <w:vAlign w:val="center"/>
            <w:hideMark/>
          </w:tcPr>
          <w:p w14:paraId="5931524F"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239.987 </w:t>
            </w:r>
          </w:p>
        </w:tc>
        <w:tc>
          <w:tcPr>
            <w:tcW w:w="928" w:type="pct"/>
            <w:tcBorders>
              <w:top w:val="nil"/>
              <w:left w:val="nil"/>
              <w:bottom w:val="nil"/>
              <w:right w:val="nil"/>
            </w:tcBorders>
            <w:noWrap/>
            <w:vAlign w:val="center"/>
            <w:hideMark/>
          </w:tcPr>
          <w:p w14:paraId="542F91FD"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(840.098)</w:t>
            </w:r>
          </w:p>
        </w:tc>
      </w:tr>
      <w:tr w:rsidR="00D87550" w:rsidRPr="00D87550" w14:paraId="045D79F6" w14:textId="77777777" w:rsidTr="00D87550">
        <w:trPr>
          <w:trHeight w:val="255"/>
        </w:trPr>
        <w:tc>
          <w:tcPr>
            <w:tcW w:w="3087" w:type="pct"/>
            <w:tcBorders>
              <w:top w:val="nil"/>
              <w:left w:val="nil"/>
              <w:bottom w:val="nil"/>
              <w:right w:val="nil"/>
            </w:tcBorders>
            <w:noWrap/>
            <w:vAlign w:val="center"/>
            <w:hideMark/>
          </w:tcPr>
          <w:p w14:paraId="6FA11D00"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LUCROS (OU PREJUÍZOS) DO EXERCÍCIO</w:t>
            </w:r>
          </w:p>
        </w:tc>
        <w:tc>
          <w:tcPr>
            <w:tcW w:w="56" w:type="pct"/>
            <w:tcBorders>
              <w:top w:val="nil"/>
              <w:left w:val="nil"/>
              <w:bottom w:val="nil"/>
              <w:right w:val="nil"/>
            </w:tcBorders>
            <w:noWrap/>
            <w:vAlign w:val="center"/>
            <w:hideMark/>
          </w:tcPr>
          <w:p w14:paraId="12E27FC4"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928" w:type="pct"/>
            <w:tcBorders>
              <w:top w:val="nil"/>
              <w:left w:val="nil"/>
              <w:bottom w:val="nil"/>
              <w:right w:val="nil"/>
            </w:tcBorders>
            <w:noWrap/>
            <w:vAlign w:val="center"/>
            <w:hideMark/>
          </w:tcPr>
          <w:p w14:paraId="164C31EF"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(58.326.713)</w:t>
            </w:r>
          </w:p>
        </w:tc>
        <w:tc>
          <w:tcPr>
            <w:tcW w:w="928" w:type="pct"/>
            <w:tcBorders>
              <w:top w:val="nil"/>
              <w:left w:val="nil"/>
              <w:bottom w:val="nil"/>
              <w:right w:val="nil"/>
            </w:tcBorders>
            <w:noWrap/>
            <w:vAlign w:val="center"/>
            <w:hideMark/>
          </w:tcPr>
          <w:p w14:paraId="04246C5A"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(59.216.927)</w:t>
            </w:r>
          </w:p>
        </w:tc>
      </w:tr>
      <w:tr w:rsidR="00D87550" w:rsidRPr="00D87550" w14:paraId="3EB18099" w14:textId="77777777" w:rsidTr="00D87550">
        <w:trPr>
          <w:trHeight w:val="255"/>
        </w:trPr>
        <w:tc>
          <w:tcPr>
            <w:tcW w:w="3087" w:type="pct"/>
            <w:tcBorders>
              <w:top w:val="nil"/>
              <w:left w:val="nil"/>
              <w:bottom w:val="nil"/>
              <w:right w:val="nil"/>
            </w:tcBorders>
            <w:noWrap/>
            <w:vAlign w:val="center"/>
            <w:hideMark/>
          </w:tcPr>
          <w:p w14:paraId="111C8DDD"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SALDO FINAL DO EXERCÍCIO</w:t>
            </w:r>
          </w:p>
        </w:tc>
        <w:tc>
          <w:tcPr>
            <w:tcW w:w="56" w:type="pct"/>
            <w:tcBorders>
              <w:top w:val="nil"/>
              <w:left w:val="nil"/>
              <w:bottom w:val="nil"/>
              <w:right w:val="nil"/>
            </w:tcBorders>
            <w:noWrap/>
            <w:vAlign w:val="center"/>
            <w:hideMark/>
          </w:tcPr>
          <w:p w14:paraId="0F7B134E"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p>
        </w:tc>
        <w:tc>
          <w:tcPr>
            <w:tcW w:w="928" w:type="pct"/>
            <w:tcBorders>
              <w:top w:val="nil"/>
              <w:left w:val="nil"/>
              <w:bottom w:val="nil"/>
              <w:right w:val="nil"/>
            </w:tcBorders>
            <w:noWrap/>
            <w:vAlign w:val="center"/>
            <w:hideMark/>
          </w:tcPr>
          <w:p w14:paraId="7FA05DC4"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(493.819.473)</w:t>
            </w:r>
          </w:p>
        </w:tc>
        <w:tc>
          <w:tcPr>
            <w:tcW w:w="928" w:type="pct"/>
            <w:tcBorders>
              <w:top w:val="nil"/>
              <w:left w:val="nil"/>
              <w:bottom w:val="nil"/>
              <w:right w:val="nil"/>
            </w:tcBorders>
            <w:noWrap/>
            <w:vAlign w:val="center"/>
            <w:hideMark/>
          </w:tcPr>
          <w:p w14:paraId="463A1E84"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(435.732.747)</w:t>
            </w:r>
          </w:p>
        </w:tc>
      </w:tr>
      <w:tr w:rsidR="00D87550" w:rsidRPr="00D87550" w14:paraId="7810A8FE" w14:textId="77777777" w:rsidTr="00D87550">
        <w:trPr>
          <w:trHeight w:val="255"/>
        </w:trPr>
        <w:tc>
          <w:tcPr>
            <w:tcW w:w="3087" w:type="pct"/>
            <w:tcBorders>
              <w:top w:val="nil"/>
              <w:left w:val="nil"/>
              <w:bottom w:val="nil"/>
              <w:right w:val="nil"/>
            </w:tcBorders>
            <w:noWrap/>
            <w:vAlign w:val="center"/>
            <w:hideMark/>
          </w:tcPr>
          <w:p w14:paraId="3A9F54D5"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p>
        </w:tc>
        <w:tc>
          <w:tcPr>
            <w:tcW w:w="56" w:type="pct"/>
            <w:tcBorders>
              <w:top w:val="nil"/>
              <w:left w:val="nil"/>
              <w:bottom w:val="nil"/>
              <w:right w:val="nil"/>
            </w:tcBorders>
            <w:noWrap/>
            <w:vAlign w:val="center"/>
            <w:hideMark/>
          </w:tcPr>
          <w:p w14:paraId="0D8654C3"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928" w:type="pct"/>
            <w:tcBorders>
              <w:top w:val="nil"/>
              <w:left w:val="nil"/>
              <w:bottom w:val="nil"/>
              <w:right w:val="nil"/>
            </w:tcBorders>
            <w:noWrap/>
            <w:vAlign w:val="center"/>
            <w:hideMark/>
          </w:tcPr>
          <w:p w14:paraId="756E6719"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928" w:type="pct"/>
            <w:tcBorders>
              <w:top w:val="nil"/>
              <w:left w:val="nil"/>
              <w:bottom w:val="nil"/>
              <w:right w:val="nil"/>
            </w:tcBorders>
            <w:noWrap/>
            <w:vAlign w:val="center"/>
            <w:hideMark/>
          </w:tcPr>
          <w:p w14:paraId="27761502"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bl>
    <w:p w14:paraId="32300C1D" w14:textId="35C4E14A" w:rsidR="001C6D59" w:rsidRDefault="001C6D59"/>
    <w:p w14:paraId="5D0397EB" w14:textId="77777777" w:rsidR="001C6D59" w:rsidRDefault="001C6D59">
      <w:r>
        <w:br w:type="page"/>
      </w:r>
    </w:p>
    <w:p w14:paraId="4E2B32D8" w14:textId="77777777" w:rsidR="00D87550" w:rsidRDefault="00D87550"/>
    <w:tbl>
      <w:tblPr>
        <w:tblW w:w="5000" w:type="pct"/>
        <w:tblCellMar>
          <w:left w:w="70" w:type="dxa"/>
          <w:right w:w="70" w:type="dxa"/>
        </w:tblCellMar>
        <w:tblLook w:val="04A0" w:firstRow="1" w:lastRow="0" w:firstColumn="1" w:lastColumn="0" w:noHBand="0" w:noVBand="1"/>
      </w:tblPr>
      <w:tblGrid>
        <w:gridCol w:w="7226"/>
        <w:gridCol w:w="146"/>
        <w:gridCol w:w="1546"/>
        <w:gridCol w:w="1548"/>
      </w:tblGrid>
      <w:tr w:rsidR="00D87550" w:rsidRPr="00D87550" w14:paraId="05282876" w14:textId="77777777" w:rsidTr="00D87550">
        <w:trPr>
          <w:trHeight w:val="255"/>
        </w:trPr>
        <w:tc>
          <w:tcPr>
            <w:tcW w:w="5000" w:type="pct"/>
            <w:gridSpan w:val="4"/>
            <w:tcBorders>
              <w:top w:val="nil"/>
              <w:left w:val="nil"/>
              <w:bottom w:val="nil"/>
              <w:right w:val="nil"/>
            </w:tcBorders>
            <w:noWrap/>
            <w:vAlign w:val="center"/>
            <w:hideMark/>
          </w:tcPr>
          <w:p w14:paraId="51535672"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DEMONSTRAÇÃO DAS MUTAÇÕES DO PATRIMÔNIO LÍQUIDO EM 31.12.2025</w:t>
            </w:r>
          </w:p>
        </w:tc>
      </w:tr>
      <w:tr w:rsidR="00D87550" w:rsidRPr="00D87550" w14:paraId="3CAD5D10" w14:textId="77777777" w:rsidTr="00D87550">
        <w:trPr>
          <w:trHeight w:val="255"/>
        </w:trPr>
        <w:tc>
          <w:tcPr>
            <w:tcW w:w="3454" w:type="pct"/>
            <w:tcBorders>
              <w:top w:val="nil"/>
              <w:left w:val="nil"/>
              <w:bottom w:val="nil"/>
              <w:right w:val="nil"/>
            </w:tcBorders>
            <w:noWrap/>
            <w:vAlign w:val="center"/>
            <w:hideMark/>
          </w:tcPr>
          <w:p w14:paraId="70A4F08F"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p>
        </w:tc>
        <w:tc>
          <w:tcPr>
            <w:tcW w:w="65" w:type="pct"/>
            <w:tcBorders>
              <w:top w:val="nil"/>
              <w:left w:val="nil"/>
              <w:bottom w:val="nil"/>
              <w:right w:val="nil"/>
            </w:tcBorders>
            <w:noWrap/>
            <w:vAlign w:val="center"/>
            <w:hideMark/>
          </w:tcPr>
          <w:p w14:paraId="02AD98E9"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40" w:type="pct"/>
            <w:tcBorders>
              <w:top w:val="nil"/>
              <w:left w:val="nil"/>
              <w:bottom w:val="nil"/>
              <w:right w:val="nil"/>
            </w:tcBorders>
            <w:noWrap/>
            <w:vAlign w:val="center"/>
            <w:hideMark/>
          </w:tcPr>
          <w:p w14:paraId="58CFD8F7"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40" w:type="pct"/>
            <w:tcBorders>
              <w:top w:val="nil"/>
              <w:left w:val="nil"/>
              <w:bottom w:val="nil"/>
              <w:right w:val="nil"/>
            </w:tcBorders>
            <w:noWrap/>
            <w:vAlign w:val="center"/>
            <w:hideMark/>
          </w:tcPr>
          <w:p w14:paraId="38C37006"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4386364E" w14:textId="77777777" w:rsidTr="00D87550">
        <w:trPr>
          <w:trHeight w:val="255"/>
        </w:trPr>
        <w:tc>
          <w:tcPr>
            <w:tcW w:w="3454" w:type="pct"/>
            <w:tcBorders>
              <w:top w:val="nil"/>
              <w:left w:val="nil"/>
              <w:bottom w:val="nil"/>
              <w:right w:val="nil"/>
            </w:tcBorders>
            <w:noWrap/>
            <w:vAlign w:val="center"/>
            <w:hideMark/>
          </w:tcPr>
          <w:p w14:paraId="61D80235"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5" w:type="pct"/>
            <w:tcBorders>
              <w:top w:val="nil"/>
              <w:left w:val="nil"/>
              <w:bottom w:val="nil"/>
              <w:right w:val="nil"/>
            </w:tcBorders>
            <w:noWrap/>
            <w:vAlign w:val="center"/>
            <w:hideMark/>
          </w:tcPr>
          <w:p w14:paraId="36D98B76"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40" w:type="pct"/>
            <w:tcBorders>
              <w:top w:val="nil"/>
              <w:left w:val="nil"/>
              <w:bottom w:val="nil"/>
              <w:right w:val="nil"/>
            </w:tcBorders>
            <w:noWrap/>
            <w:vAlign w:val="center"/>
            <w:hideMark/>
          </w:tcPr>
          <w:p w14:paraId="52C81066"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40" w:type="pct"/>
            <w:tcBorders>
              <w:top w:val="nil"/>
              <w:left w:val="nil"/>
              <w:bottom w:val="nil"/>
              <w:right w:val="nil"/>
            </w:tcBorders>
            <w:noWrap/>
            <w:vAlign w:val="center"/>
            <w:hideMark/>
          </w:tcPr>
          <w:p w14:paraId="6029ED6C"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3959C513" w14:textId="77777777" w:rsidTr="00D87550">
        <w:trPr>
          <w:trHeight w:val="255"/>
        </w:trPr>
        <w:tc>
          <w:tcPr>
            <w:tcW w:w="3454" w:type="pct"/>
            <w:tcBorders>
              <w:top w:val="nil"/>
              <w:left w:val="nil"/>
              <w:bottom w:val="nil"/>
              <w:right w:val="nil"/>
            </w:tcBorders>
            <w:noWrap/>
            <w:vAlign w:val="center"/>
            <w:hideMark/>
          </w:tcPr>
          <w:p w14:paraId="0EDE21A9"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5" w:type="pct"/>
            <w:tcBorders>
              <w:top w:val="nil"/>
              <w:left w:val="nil"/>
              <w:bottom w:val="nil"/>
              <w:right w:val="nil"/>
            </w:tcBorders>
            <w:noWrap/>
            <w:vAlign w:val="center"/>
            <w:hideMark/>
          </w:tcPr>
          <w:p w14:paraId="7ABE0345"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40" w:type="pct"/>
            <w:tcBorders>
              <w:top w:val="nil"/>
              <w:left w:val="nil"/>
              <w:bottom w:val="nil"/>
              <w:right w:val="nil"/>
            </w:tcBorders>
            <w:noWrap/>
            <w:vAlign w:val="center"/>
            <w:hideMark/>
          </w:tcPr>
          <w:p w14:paraId="669054B7"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40" w:type="pct"/>
            <w:tcBorders>
              <w:top w:val="nil"/>
              <w:left w:val="nil"/>
              <w:bottom w:val="nil"/>
              <w:right w:val="nil"/>
            </w:tcBorders>
            <w:noWrap/>
            <w:vAlign w:val="center"/>
            <w:hideMark/>
          </w:tcPr>
          <w:p w14:paraId="4A0EEAFD"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7F98ADBE" w14:textId="77777777" w:rsidTr="00D87550">
        <w:trPr>
          <w:trHeight w:val="255"/>
        </w:trPr>
        <w:tc>
          <w:tcPr>
            <w:tcW w:w="3454" w:type="pct"/>
            <w:tcBorders>
              <w:top w:val="nil"/>
              <w:left w:val="nil"/>
              <w:bottom w:val="nil"/>
              <w:right w:val="nil"/>
            </w:tcBorders>
            <w:noWrap/>
            <w:vAlign w:val="center"/>
            <w:hideMark/>
          </w:tcPr>
          <w:p w14:paraId="43EA4996"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65" w:type="pct"/>
            <w:tcBorders>
              <w:top w:val="nil"/>
              <w:left w:val="nil"/>
              <w:bottom w:val="nil"/>
              <w:right w:val="nil"/>
            </w:tcBorders>
            <w:noWrap/>
            <w:vAlign w:val="center"/>
            <w:hideMark/>
          </w:tcPr>
          <w:p w14:paraId="0E15D79C"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40" w:type="pct"/>
            <w:tcBorders>
              <w:top w:val="nil"/>
              <w:left w:val="nil"/>
              <w:bottom w:val="nil"/>
              <w:right w:val="nil"/>
            </w:tcBorders>
            <w:noWrap/>
            <w:vAlign w:val="center"/>
            <w:hideMark/>
          </w:tcPr>
          <w:p w14:paraId="76FD4686"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2025</w:t>
            </w:r>
          </w:p>
        </w:tc>
        <w:tc>
          <w:tcPr>
            <w:tcW w:w="740" w:type="pct"/>
            <w:tcBorders>
              <w:top w:val="nil"/>
              <w:left w:val="nil"/>
              <w:bottom w:val="nil"/>
              <w:right w:val="nil"/>
            </w:tcBorders>
            <w:noWrap/>
            <w:vAlign w:val="center"/>
            <w:hideMark/>
          </w:tcPr>
          <w:p w14:paraId="6D876E20"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2024</w:t>
            </w:r>
          </w:p>
        </w:tc>
      </w:tr>
      <w:tr w:rsidR="00D87550" w:rsidRPr="00D87550" w14:paraId="7D1632EA" w14:textId="77777777" w:rsidTr="00D87550">
        <w:trPr>
          <w:trHeight w:val="255"/>
        </w:trPr>
        <w:tc>
          <w:tcPr>
            <w:tcW w:w="3454" w:type="pct"/>
            <w:tcBorders>
              <w:top w:val="nil"/>
              <w:left w:val="nil"/>
              <w:bottom w:val="nil"/>
              <w:right w:val="nil"/>
            </w:tcBorders>
            <w:noWrap/>
            <w:vAlign w:val="center"/>
            <w:hideMark/>
          </w:tcPr>
          <w:p w14:paraId="1F4E566D" w14:textId="77777777" w:rsidR="00D87550" w:rsidRPr="00D87550" w:rsidRDefault="00D87550" w:rsidP="00D87550">
            <w:pPr>
              <w:spacing w:after="0" w:line="240" w:lineRule="auto"/>
              <w:jc w:val="center"/>
              <w:rPr>
                <w:rFonts w:ascii="Century" w:eastAsia="Times New Roman" w:hAnsi="Century" w:cs="Calibri"/>
                <w:b/>
                <w:bCs/>
                <w:color w:val="000000"/>
                <w:sz w:val="20"/>
                <w:szCs w:val="20"/>
                <w:lang w:eastAsia="pt-BR"/>
              </w:rPr>
            </w:pPr>
          </w:p>
        </w:tc>
        <w:tc>
          <w:tcPr>
            <w:tcW w:w="65" w:type="pct"/>
            <w:tcBorders>
              <w:top w:val="nil"/>
              <w:left w:val="nil"/>
              <w:bottom w:val="nil"/>
              <w:right w:val="nil"/>
            </w:tcBorders>
            <w:noWrap/>
            <w:vAlign w:val="center"/>
            <w:hideMark/>
          </w:tcPr>
          <w:p w14:paraId="1B564594"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40" w:type="pct"/>
            <w:tcBorders>
              <w:top w:val="nil"/>
              <w:left w:val="nil"/>
              <w:bottom w:val="nil"/>
              <w:right w:val="nil"/>
            </w:tcBorders>
            <w:noWrap/>
            <w:vAlign w:val="center"/>
            <w:hideMark/>
          </w:tcPr>
          <w:p w14:paraId="57B7F829"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c>
          <w:tcPr>
            <w:tcW w:w="740" w:type="pct"/>
            <w:tcBorders>
              <w:top w:val="nil"/>
              <w:left w:val="nil"/>
              <w:bottom w:val="nil"/>
              <w:right w:val="nil"/>
            </w:tcBorders>
            <w:noWrap/>
            <w:vAlign w:val="center"/>
            <w:hideMark/>
          </w:tcPr>
          <w:p w14:paraId="47B81BFA" w14:textId="77777777" w:rsidR="00D87550" w:rsidRPr="00D87550" w:rsidRDefault="00D87550" w:rsidP="00D87550">
            <w:pPr>
              <w:spacing w:after="0" w:line="240" w:lineRule="auto"/>
              <w:rPr>
                <w:rFonts w:ascii="Times New Roman" w:eastAsia="Times New Roman" w:hAnsi="Times New Roman" w:cs="Times New Roman"/>
                <w:sz w:val="20"/>
                <w:szCs w:val="20"/>
                <w:lang w:eastAsia="pt-BR"/>
              </w:rPr>
            </w:pPr>
          </w:p>
        </w:tc>
      </w:tr>
      <w:tr w:rsidR="00D87550" w:rsidRPr="00D87550" w14:paraId="09EAF2A0" w14:textId="77777777" w:rsidTr="00D87550">
        <w:trPr>
          <w:trHeight w:val="255"/>
        </w:trPr>
        <w:tc>
          <w:tcPr>
            <w:tcW w:w="3454" w:type="pct"/>
            <w:tcBorders>
              <w:top w:val="nil"/>
              <w:left w:val="nil"/>
              <w:bottom w:val="nil"/>
              <w:right w:val="nil"/>
            </w:tcBorders>
            <w:noWrap/>
            <w:vAlign w:val="center"/>
            <w:hideMark/>
          </w:tcPr>
          <w:p w14:paraId="57AC26D4"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CAPITAL SOCIAL</w:t>
            </w:r>
          </w:p>
        </w:tc>
        <w:tc>
          <w:tcPr>
            <w:tcW w:w="65" w:type="pct"/>
            <w:tcBorders>
              <w:top w:val="nil"/>
              <w:left w:val="nil"/>
              <w:bottom w:val="nil"/>
              <w:right w:val="nil"/>
            </w:tcBorders>
            <w:noWrap/>
            <w:vAlign w:val="center"/>
            <w:hideMark/>
          </w:tcPr>
          <w:p w14:paraId="025A7B8B"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40" w:type="pct"/>
            <w:tcBorders>
              <w:top w:val="nil"/>
              <w:left w:val="nil"/>
              <w:bottom w:val="nil"/>
              <w:right w:val="nil"/>
            </w:tcBorders>
            <w:noWrap/>
            <w:vAlign w:val="center"/>
            <w:hideMark/>
          </w:tcPr>
          <w:p w14:paraId="644245E1"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489.168.429 </w:t>
            </w:r>
          </w:p>
        </w:tc>
        <w:tc>
          <w:tcPr>
            <w:tcW w:w="740" w:type="pct"/>
            <w:tcBorders>
              <w:top w:val="nil"/>
              <w:left w:val="nil"/>
              <w:bottom w:val="nil"/>
              <w:right w:val="nil"/>
            </w:tcBorders>
            <w:noWrap/>
            <w:vAlign w:val="center"/>
            <w:hideMark/>
          </w:tcPr>
          <w:p w14:paraId="5D7FC665"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431.935.068 </w:t>
            </w:r>
          </w:p>
        </w:tc>
      </w:tr>
      <w:tr w:rsidR="00D87550" w:rsidRPr="00D87550" w14:paraId="0BA72ECF" w14:textId="77777777" w:rsidTr="00D87550">
        <w:trPr>
          <w:trHeight w:val="255"/>
        </w:trPr>
        <w:tc>
          <w:tcPr>
            <w:tcW w:w="3454" w:type="pct"/>
            <w:tcBorders>
              <w:top w:val="nil"/>
              <w:left w:val="nil"/>
              <w:bottom w:val="nil"/>
              <w:right w:val="nil"/>
            </w:tcBorders>
            <w:noWrap/>
            <w:vAlign w:val="center"/>
            <w:hideMark/>
          </w:tcPr>
          <w:p w14:paraId="156AA71D"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RESERVA DE REAVALIAÇAO DE BENS</w:t>
            </w:r>
          </w:p>
        </w:tc>
        <w:tc>
          <w:tcPr>
            <w:tcW w:w="65" w:type="pct"/>
            <w:tcBorders>
              <w:top w:val="nil"/>
              <w:left w:val="nil"/>
              <w:bottom w:val="nil"/>
              <w:right w:val="nil"/>
            </w:tcBorders>
            <w:noWrap/>
            <w:vAlign w:val="center"/>
            <w:hideMark/>
          </w:tcPr>
          <w:p w14:paraId="3799C5D9"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40" w:type="pct"/>
            <w:tcBorders>
              <w:top w:val="nil"/>
              <w:left w:val="nil"/>
              <w:bottom w:val="nil"/>
              <w:right w:val="nil"/>
            </w:tcBorders>
            <w:noWrap/>
            <w:vAlign w:val="center"/>
            <w:hideMark/>
          </w:tcPr>
          <w:p w14:paraId="2147E628"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4.117.904 </w:t>
            </w:r>
          </w:p>
        </w:tc>
        <w:tc>
          <w:tcPr>
            <w:tcW w:w="740" w:type="pct"/>
            <w:tcBorders>
              <w:top w:val="nil"/>
              <w:left w:val="nil"/>
              <w:bottom w:val="nil"/>
              <w:right w:val="nil"/>
            </w:tcBorders>
            <w:noWrap/>
            <w:vAlign w:val="center"/>
            <w:hideMark/>
          </w:tcPr>
          <w:p w14:paraId="5E555B94"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4.117.904 </w:t>
            </w:r>
          </w:p>
        </w:tc>
      </w:tr>
      <w:tr w:rsidR="00D87550" w:rsidRPr="00D87550" w14:paraId="6D062147" w14:textId="77777777" w:rsidTr="00D87550">
        <w:trPr>
          <w:trHeight w:val="255"/>
        </w:trPr>
        <w:tc>
          <w:tcPr>
            <w:tcW w:w="3454" w:type="pct"/>
            <w:tcBorders>
              <w:top w:val="nil"/>
              <w:left w:val="nil"/>
              <w:bottom w:val="nil"/>
              <w:right w:val="nil"/>
            </w:tcBorders>
            <w:noWrap/>
            <w:vAlign w:val="center"/>
            <w:hideMark/>
          </w:tcPr>
          <w:p w14:paraId="27BB8036"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RESERVA DE LUCRO</w:t>
            </w:r>
          </w:p>
        </w:tc>
        <w:tc>
          <w:tcPr>
            <w:tcW w:w="65" w:type="pct"/>
            <w:tcBorders>
              <w:top w:val="nil"/>
              <w:left w:val="nil"/>
              <w:bottom w:val="nil"/>
              <w:right w:val="nil"/>
            </w:tcBorders>
            <w:noWrap/>
            <w:vAlign w:val="center"/>
            <w:hideMark/>
          </w:tcPr>
          <w:p w14:paraId="5F325641"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40" w:type="pct"/>
            <w:tcBorders>
              <w:top w:val="nil"/>
              <w:left w:val="nil"/>
              <w:bottom w:val="nil"/>
              <w:right w:val="nil"/>
            </w:tcBorders>
            <w:noWrap/>
            <w:vAlign w:val="center"/>
            <w:hideMark/>
          </w:tcPr>
          <w:p w14:paraId="2923F61F"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1.009 </w:t>
            </w:r>
          </w:p>
        </w:tc>
        <w:tc>
          <w:tcPr>
            <w:tcW w:w="740" w:type="pct"/>
            <w:tcBorders>
              <w:top w:val="nil"/>
              <w:left w:val="nil"/>
              <w:bottom w:val="nil"/>
              <w:right w:val="nil"/>
            </w:tcBorders>
            <w:noWrap/>
            <w:vAlign w:val="center"/>
            <w:hideMark/>
          </w:tcPr>
          <w:p w14:paraId="63A5DC6D"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1.009 </w:t>
            </w:r>
          </w:p>
        </w:tc>
      </w:tr>
      <w:tr w:rsidR="00D87550" w:rsidRPr="00D87550" w14:paraId="6D71FE64" w14:textId="77777777" w:rsidTr="00D87550">
        <w:trPr>
          <w:trHeight w:val="255"/>
        </w:trPr>
        <w:tc>
          <w:tcPr>
            <w:tcW w:w="3454" w:type="pct"/>
            <w:tcBorders>
              <w:top w:val="nil"/>
              <w:left w:val="nil"/>
              <w:bottom w:val="nil"/>
              <w:right w:val="nil"/>
            </w:tcBorders>
            <w:noWrap/>
            <w:vAlign w:val="center"/>
            <w:hideMark/>
          </w:tcPr>
          <w:p w14:paraId="1F379F46"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LUCROS (PREJUIZOS) ACUMULADOS</w:t>
            </w:r>
          </w:p>
        </w:tc>
        <w:tc>
          <w:tcPr>
            <w:tcW w:w="65" w:type="pct"/>
            <w:tcBorders>
              <w:top w:val="nil"/>
              <w:left w:val="nil"/>
              <w:bottom w:val="nil"/>
              <w:right w:val="nil"/>
            </w:tcBorders>
            <w:noWrap/>
            <w:vAlign w:val="center"/>
            <w:hideMark/>
          </w:tcPr>
          <w:p w14:paraId="33E60B49"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40" w:type="pct"/>
            <w:tcBorders>
              <w:top w:val="nil"/>
              <w:left w:val="nil"/>
              <w:bottom w:val="nil"/>
              <w:right w:val="nil"/>
            </w:tcBorders>
            <w:noWrap/>
            <w:vAlign w:val="center"/>
            <w:hideMark/>
          </w:tcPr>
          <w:p w14:paraId="1B4BB49B"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FF0000"/>
                <w:sz w:val="20"/>
                <w:szCs w:val="20"/>
                <w:lang w:eastAsia="pt-BR"/>
              </w:rPr>
              <w:t>(493.819.473)</w:t>
            </w:r>
          </w:p>
        </w:tc>
        <w:tc>
          <w:tcPr>
            <w:tcW w:w="740" w:type="pct"/>
            <w:tcBorders>
              <w:top w:val="nil"/>
              <w:left w:val="nil"/>
              <w:bottom w:val="nil"/>
              <w:right w:val="nil"/>
            </w:tcBorders>
            <w:noWrap/>
            <w:vAlign w:val="center"/>
            <w:hideMark/>
          </w:tcPr>
          <w:p w14:paraId="425C63EB"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FF0000"/>
                <w:sz w:val="20"/>
                <w:szCs w:val="20"/>
                <w:lang w:eastAsia="pt-BR"/>
              </w:rPr>
              <w:t>(435.732.747)</w:t>
            </w:r>
          </w:p>
        </w:tc>
      </w:tr>
      <w:tr w:rsidR="00D87550" w:rsidRPr="00D87550" w14:paraId="2FA14A75" w14:textId="77777777" w:rsidTr="00D87550">
        <w:trPr>
          <w:trHeight w:val="255"/>
        </w:trPr>
        <w:tc>
          <w:tcPr>
            <w:tcW w:w="3454" w:type="pct"/>
            <w:tcBorders>
              <w:top w:val="nil"/>
              <w:left w:val="nil"/>
              <w:bottom w:val="nil"/>
              <w:right w:val="nil"/>
            </w:tcBorders>
            <w:noWrap/>
            <w:vAlign w:val="center"/>
            <w:hideMark/>
          </w:tcPr>
          <w:p w14:paraId="4939423B"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ADIANTAMENTOS PARA FUTURO AUMENTO DE CAPITAL</w:t>
            </w:r>
          </w:p>
        </w:tc>
        <w:tc>
          <w:tcPr>
            <w:tcW w:w="65" w:type="pct"/>
            <w:tcBorders>
              <w:top w:val="nil"/>
              <w:left w:val="nil"/>
              <w:bottom w:val="nil"/>
              <w:right w:val="nil"/>
            </w:tcBorders>
            <w:noWrap/>
            <w:vAlign w:val="center"/>
            <w:hideMark/>
          </w:tcPr>
          <w:p w14:paraId="34AEADAC" w14:textId="77777777" w:rsidR="00D87550" w:rsidRPr="00D87550" w:rsidRDefault="00D87550" w:rsidP="00D87550">
            <w:pPr>
              <w:spacing w:after="0" w:line="240" w:lineRule="auto"/>
              <w:rPr>
                <w:rFonts w:ascii="Century" w:eastAsia="Times New Roman" w:hAnsi="Century" w:cs="Calibri"/>
                <w:color w:val="000000"/>
                <w:sz w:val="20"/>
                <w:szCs w:val="20"/>
                <w:lang w:eastAsia="pt-BR"/>
              </w:rPr>
            </w:pPr>
          </w:p>
        </w:tc>
        <w:tc>
          <w:tcPr>
            <w:tcW w:w="740" w:type="pct"/>
            <w:tcBorders>
              <w:top w:val="nil"/>
              <w:left w:val="nil"/>
              <w:bottom w:val="nil"/>
              <w:right w:val="nil"/>
            </w:tcBorders>
            <w:noWrap/>
            <w:vAlign w:val="center"/>
            <w:hideMark/>
          </w:tcPr>
          <w:p w14:paraId="2C4969F7"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54.679.217 </w:t>
            </w:r>
          </w:p>
        </w:tc>
        <w:tc>
          <w:tcPr>
            <w:tcW w:w="740" w:type="pct"/>
            <w:tcBorders>
              <w:top w:val="nil"/>
              <w:left w:val="nil"/>
              <w:bottom w:val="nil"/>
              <w:right w:val="nil"/>
            </w:tcBorders>
            <w:noWrap/>
            <w:vAlign w:val="center"/>
            <w:hideMark/>
          </w:tcPr>
          <w:p w14:paraId="1772F157" w14:textId="77777777" w:rsidR="00D87550" w:rsidRPr="00D87550" w:rsidRDefault="00D87550" w:rsidP="00D87550">
            <w:pPr>
              <w:spacing w:after="0" w:line="240" w:lineRule="auto"/>
              <w:jc w:val="right"/>
              <w:rPr>
                <w:rFonts w:ascii="Century" w:eastAsia="Times New Roman" w:hAnsi="Century" w:cs="Calibri"/>
                <w:color w:val="000000"/>
                <w:sz w:val="20"/>
                <w:szCs w:val="20"/>
                <w:lang w:eastAsia="pt-BR"/>
              </w:rPr>
            </w:pPr>
            <w:r w:rsidRPr="00D87550">
              <w:rPr>
                <w:rFonts w:ascii="Century" w:eastAsia="Times New Roman" w:hAnsi="Century" w:cs="Calibri"/>
                <w:color w:val="000000"/>
                <w:sz w:val="20"/>
                <w:szCs w:val="20"/>
                <w:lang w:eastAsia="pt-BR"/>
              </w:rPr>
              <w:t xml:space="preserve">57.233.360 </w:t>
            </w:r>
          </w:p>
        </w:tc>
      </w:tr>
      <w:tr w:rsidR="00D87550" w:rsidRPr="00D87550" w14:paraId="015A44FB" w14:textId="77777777" w:rsidTr="00D87550">
        <w:trPr>
          <w:trHeight w:val="255"/>
        </w:trPr>
        <w:tc>
          <w:tcPr>
            <w:tcW w:w="3454" w:type="pct"/>
            <w:tcBorders>
              <w:top w:val="nil"/>
              <w:left w:val="nil"/>
              <w:bottom w:val="nil"/>
              <w:right w:val="nil"/>
            </w:tcBorders>
            <w:noWrap/>
            <w:vAlign w:val="center"/>
            <w:hideMark/>
          </w:tcPr>
          <w:p w14:paraId="59B238A7"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TOTAL DO PL</w:t>
            </w:r>
          </w:p>
        </w:tc>
        <w:tc>
          <w:tcPr>
            <w:tcW w:w="65" w:type="pct"/>
            <w:tcBorders>
              <w:top w:val="nil"/>
              <w:left w:val="nil"/>
              <w:bottom w:val="nil"/>
              <w:right w:val="nil"/>
            </w:tcBorders>
            <w:noWrap/>
            <w:vAlign w:val="center"/>
            <w:hideMark/>
          </w:tcPr>
          <w:p w14:paraId="253449D1" w14:textId="77777777" w:rsidR="00D87550" w:rsidRPr="00D87550" w:rsidRDefault="00D87550" w:rsidP="00D87550">
            <w:pPr>
              <w:spacing w:after="0" w:line="240" w:lineRule="auto"/>
              <w:rPr>
                <w:rFonts w:ascii="Century" w:eastAsia="Times New Roman" w:hAnsi="Century" w:cs="Calibri"/>
                <w:b/>
                <w:bCs/>
                <w:color w:val="000000"/>
                <w:sz w:val="20"/>
                <w:szCs w:val="20"/>
                <w:lang w:eastAsia="pt-BR"/>
              </w:rPr>
            </w:pPr>
          </w:p>
        </w:tc>
        <w:tc>
          <w:tcPr>
            <w:tcW w:w="740" w:type="pct"/>
            <w:tcBorders>
              <w:top w:val="nil"/>
              <w:left w:val="nil"/>
              <w:bottom w:val="nil"/>
              <w:right w:val="nil"/>
            </w:tcBorders>
            <w:noWrap/>
            <w:vAlign w:val="center"/>
            <w:hideMark/>
          </w:tcPr>
          <w:p w14:paraId="6200A706"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xml:space="preserve">54.147.086 </w:t>
            </w:r>
          </w:p>
        </w:tc>
        <w:tc>
          <w:tcPr>
            <w:tcW w:w="740" w:type="pct"/>
            <w:tcBorders>
              <w:top w:val="nil"/>
              <w:left w:val="nil"/>
              <w:bottom w:val="nil"/>
              <w:right w:val="nil"/>
            </w:tcBorders>
            <w:noWrap/>
            <w:vAlign w:val="center"/>
            <w:hideMark/>
          </w:tcPr>
          <w:p w14:paraId="4E1471B0" w14:textId="77777777" w:rsidR="00D87550" w:rsidRPr="00D87550" w:rsidRDefault="00D87550" w:rsidP="00D87550">
            <w:pPr>
              <w:spacing w:after="0" w:line="240" w:lineRule="auto"/>
              <w:jc w:val="right"/>
              <w:rPr>
                <w:rFonts w:ascii="Century" w:eastAsia="Times New Roman" w:hAnsi="Century" w:cs="Calibri"/>
                <w:b/>
                <w:bCs/>
                <w:color w:val="000000"/>
                <w:sz w:val="20"/>
                <w:szCs w:val="20"/>
                <w:lang w:eastAsia="pt-BR"/>
              </w:rPr>
            </w:pPr>
            <w:r w:rsidRPr="00D87550">
              <w:rPr>
                <w:rFonts w:ascii="Century" w:eastAsia="Times New Roman" w:hAnsi="Century" w:cs="Calibri"/>
                <w:b/>
                <w:bCs/>
                <w:color w:val="000000"/>
                <w:sz w:val="20"/>
                <w:szCs w:val="20"/>
                <w:lang w:eastAsia="pt-BR"/>
              </w:rPr>
              <w:t xml:space="preserve">57.554.595 </w:t>
            </w:r>
          </w:p>
        </w:tc>
      </w:tr>
    </w:tbl>
    <w:p w14:paraId="7F151511" w14:textId="77777777" w:rsidR="00D87550" w:rsidRDefault="00D87550"/>
    <w:p w14:paraId="66D61CBE" w14:textId="77777777" w:rsidR="00D87550" w:rsidRDefault="00D87550">
      <w:r>
        <w:br w:type="page"/>
      </w:r>
    </w:p>
    <w:p w14:paraId="3F199C3C" w14:textId="77777777" w:rsidR="00D87550" w:rsidRPr="007D72B9" w:rsidRDefault="00D87550" w:rsidP="00D87550">
      <w:pPr>
        <w:spacing w:after="0"/>
        <w:jc w:val="right"/>
        <w:rPr>
          <w:rStyle w:val="fontstyle01"/>
          <w:rFonts w:ascii="Century Schoolbook" w:hAnsi="Century Schoolbook"/>
          <w:i/>
          <w:iCs/>
          <w:sz w:val="20"/>
          <w:szCs w:val="20"/>
        </w:rPr>
      </w:pPr>
    </w:p>
    <w:p w14:paraId="548B8343" w14:textId="77777777" w:rsidR="00D87550" w:rsidRPr="007D72B9" w:rsidRDefault="00D87550" w:rsidP="00D87550">
      <w:pPr>
        <w:spacing w:after="0"/>
        <w:jc w:val="right"/>
        <w:rPr>
          <w:rStyle w:val="fontstyle01"/>
          <w:rFonts w:ascii="Century Schoolbook" w:hAnsi="Century Schoolbook"/>
          <w:i/>
          <w:iCs/>
          <w:sz w:val="20"/>
          <w:szCs w:val="20"/>
        </w:rPr>
      </w:pPr>
    </w:p>
    <w:p w14:paraId="07377689" w14:textId="77777777" w:rsidR="00D87550" w:rsidRPr="007D72B9" w:rsidRDefault="00D87550" w:rsidP="00D87550">
      <w:pPr>
        <w:spacing w:after="0"/>
        <w:jc w:val="right"/>
        <w:rPr>
          <w:rStyle w:val="fontstyle01"/>
          <w:rFonts w:ascii="Century Schoolbook" w:hAnsi="Century Schoolbook"/>
          <w:i/>
          <w:iCs/>
          <w:sz w:val="20"/>
          <w:szCs w:val="20"/>
        </w:rPr>
      </w:pPr>
      <w:r w:rsidRPr="007D72B9">
        <w:rPr>
          <w:rStyle w:val="fontstyle01"/>
          <w:rFonts w:ascii="Century Schoolbook" w:hAnsi="Century Schoolbook"/>
          <w:i/>
          <w:iCs/>
          <w:sz w:val="20"/>
          <w:szCs w:val="20"/>
        </w:rPr>
        <w:t>Notas explicativas às demonstrações contábeis</w:t>
      </w:r>
    </w:p>
    <w:p w14:paraId="75CB2D66" w14:textId="77777777" w:rsidR="00D87550" w:rsidRPr="007D72B9" w:rsidRDefault="00D87550" w:rsidP="00D87550">
      <w:pPr>
        <w:spacing w:after="0"/>
        <w:jc w:val="right"/>
        <w:rPr>
          <w:rStyle w:val="fontstyle01"/>
          <w:rFonts w:ascii="Century Schoolbook" w:hAnsi="Century Schoolbook"/>
          <w:i/>
          <w:iCs/>
          <w:sz w:val="20"/>
          <w:szCs w:val="20"/>
        </w:rPr>
      </w:pPr>
      <w:r w:rsidRPr="007D72B9">
        <w:rPr>
          <w:rStyle w:val="fontstyle01"/>
          <w:rFonts w:ascii="Century Schoolbook" w:hAnsi="Century Schoolbook"/>
          <w:i/>
          <w:iCs/>
          <w:sz w:val="20"/>
          <w:szCs w:val="20"/>
        </w:rPr>
        <w:t>Exercício findo em 31 de dezembro de 2025</w:t>
      </w:r>
    </w:p>
    <w:p w14:paraId="0E9994C6" w14:textId="77777777" w:rsidR="00D87550" w:rsidRPr="007D72B9" w:rsidRDefault="00D87550" w:rsidP="00D87550">
      <w:pPr>
        <w:spacing w:after="0" w:line="360" w:lineRule="auto"/>
        <w:ind w:hanging="357"/>
        <w:jc w:val="right"/>
        <w:rPr>
          <w:rStyle w:val="fontstyle01"/>
          <w:rFonts w:ascii="Century Schoolbook" w:hAnsi="Century Schoolbook"/>
          <w:i/>
          <w:iCs/>
          <w:sz w:val="20"/>
          <w:szCs w:val="20"/>
        </w:rPr>
      </w:pPr>
      <w:r w:rsidRPr="007D72B9">
        <w:rPr>
          <w:rStyle w:val="fontstyle01"/>
          <w:rFonts w:ascii="Century Schoolbook" w:hAnsi="Century Schoolbook"/>
          <w:i/>
          <w:iCs/>
          <w:sz w:val="20"/>
          <w:szCs w:val="20"/>
        </w:rPr>
        <w:t>(Em milhares de reais, exceto se de outra forma indicada)</w:t>
      </w:r>
    </w:p>
    <w:p w14:paraId="34ED2701" w14:textId="77777777" w:rsidR="00D87550" w:rsidRPr="007D72B9" w:rsidRDefault="00D87550" w:rsidP="00D87550">
      <w:pPr>
        <w:spacing w:after="0" w:line="360" w:lineRule="auto"/>
        <w:ind w:hanging="357"/>
        <w:jc w:val="right"/>
        <w:rPr>
          <w:rFonts w:ascii="Century Schoolbook" w:hAnsi="Century Schoolbook"/>
          <w:sz w:val="20"/>
          <w:szCs w:val="20"/>
        </w:rPr>
      </w:pPr>
    </w:p>
    <w:p w14:paraId="08FE1840" w14:textId="77777777" w:rsidR="00D87550" w:rsidRPr="007D72B9" w:rsidRDefault="00D87550" w:rsidP="00D87550">
      <w:pPr>
        <w:spacing w:after="0" w:line="360" w:lineRule="auto"/>
        <w:ind w:hanging="357"/>
        <w:jc w:val="right"/>
        <w:rPr>
          <w:rFonts w:ascii="Century Schoolbook" w:hAnsi="Century Schoolbook"/>
          <w:sz w:val="20"/>
          <w:szCs w:val="20"/>
        </w:rPr>
      </w:pPr>
    </w:p>
    <w:p w14:paraId="16F4FC49" w14:textId="77777777" w:rsidR="00D87550" w:rsidRPr="007D72B9" w:rsidRDefault="00D87550" w:rsidP="00D87550">
      <w:pPr>
        <w:pStyle w:val="PargrafodaLista"/>
        <w:numPr>
          <w:ilvl w:val="0"/>
          <w:numId w:val="3"/>
        </w:numPr>
        <w:spacing w:before="240" w:after="240" w:line="360" w:lineRule="auto"/>
        <w:ind w:left="0" w:firstLine="0"/>
        <w:contextualSpacing w:val="0"/>
        <w:rPr>
          <w:rFonts w:ascii="Century Schoolbook" w:hAnsi="Century Schoolbook"/>
          <w:b/>
          <w:bCs/>
          <w:sz w:val="20"/>
          <w:szCs w:val="20"/>
        </w:rPr>
      </w:pPr>
      <w:r w:rsidRPr="007D72B9">
        <w:rPr>
          <w:rFonts w:ascii="Century Schoolbook" w:hAnsi="Century Schoolbook"/>
          <w:b/>
          <w:bCs/>
          <w:sz w:val="20"/>
          <w:szCs w:val="20"/>
        </w:rPr>
        <w:t>CONTEXTO OPERACIONAL</w:t>
      </w:r>
    </w:p>
    <w:p w14:paraId="4F7F365D" w14:textId="77777777" w:rsidR="00D87550" w:rsidRPr="007D72B9" w:rsidRDefault="00D87550" w:rsidP="00D87550">
      <w:pPr>
        <w:pStyle w:val="PargrafodaLista"/>
        <w:spacing w:before="240" w:after="240" w:line="360" w:lineRule="auto"/>
        <w:ind w:left="0"/>
        <w:contextualSpacing w:val="0"/>
        <w:rPr>
          <w:rFonts w:ascii="Century Schoolbook" w:hAnsi="Century Schoolbook"/>
          <w:b/>
          <w:bCs/>
          <w:sz w:val="20"/>
          <w:szCs w:val="20"/>
        </w:rPr>
      </w:pPr>
    </w:p>
    <w:p w14:paraId="5E557050"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bookmarkStart w:id="0" w:name="_Hlk190944599"/>
      <w:r w:rsidRPr="007D72B9">
        <w:rPr>
          <w:rFonts w:ascii="Century Schoolbook" w:hAnsi="Century Schoolbook"/>
          <w:sz w:val="20"/>
          <w:szCs w:val="20"/>
        </w:rPr>
        <w:t>A Maranhão Parcerias S.A. – MAPA é uma sociedade de economia mista, com sede na cidade de São Luís, capital do Estado do Maranhão. Vinculada à Secretaria de Estado de Desenvolvimento Econômico e Programas Estratégicos (SEDEPE), por meio do Decreto n</w:t>
      </w:r>
      <w:r w:rsidRPr="007D72B9">
        <w:rPr>
          <w:rFonts w:ascii="Century Schoolbook" w:hAnsi="Century Schoolbook"/>
          <w:strike/>
          <w:sz w:val="20"/>
          <w:szCs w:val="20"/>
        </w:rPr>
        <w:t>º</w:t>
      </w:r>
      <w:r w:rsidRPr="007D72B9">
        <w:rPr>
          <w:rFonts w:ascii="Century Schoolbook" w:hAnsi="Century Schoolbook"/>
          <w:sz w:val="20"/>
          <w:szCs w:val="20"/>
        </w:rPr>
        <w:t xml:space="preserve"> 37.577, de 18 de abril de 2022, e que tem como missão principal fomentar o desenvolvimento econômico e social sustentável do Estado do Maranhão.  </w:t>
      </w:r>
    </w:p>
    <w:p w14:paraId="0EC2A7CC"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 xml:space="preserve">Para cumprir esse propósito, a empresa atua na gestão e execução de projetos estratégicos, bem como na prestação de serviços em parceria com a iniciativa privada, promovendo a integração entre o setor público e o privado. Além disso, a MAPA é responsável por administrar os direitos e obrigações remanescentes das empresas por ela incorporadas, garantindo a continuidade e a eficiência dos processos herdados.  </w:t>
      </w:r>
    </w:p>
    <w:p w14:paraId="5CAC04D0"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Guiada por valores fundamentais como ética, transparência, excelência, inovação, valorização das pessoas e responsabilidade socioambiental, a MAPA busca não apenas gerar resultados econômicos, mas também contribuir para o desenvolvimento humano e a preservação do meio ambiente. Com um compromisso sólido com a qualidade e a eficiência, a empresa posiciona-se como um agente transformador, impulsionando o crescimento do Estado do Maranhão e melhorando a qualidade de vida de sua população.</w:t>
      </w:r>
    </w:p>
    <w:bookmarkEnd w:id="0"/>
    <w:p w14:paraId="4E41993F"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O Governo do Estado do Maranhão é o principal acionista da empresa, detendo a maior parcela do capital social e exercendo controle sobre 99,74% do total de ações. Desse percentual, 98,10% correspondem a ações ordinárias nominativas, enquanto 1,64% são ações preferenciais. O restante das ações, tanto ordinárias nominativas quanto preferenciais, está distribuído entre acionistas diversos.</w:t>
      </w:r>
    </w:p>
    <w:p w14:paraId="45A0DF20" w14:textId="77777777" w:rsidR="00D87550"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Atualmente, a MAPA além de desempenhar as atividades relacionadas à antiga Companhia Habitacional do Estado do Maranhão, assume um papel estratégico na promoção de parcerias que gerem benefícios econômicos e socioambientais para a sociedade maranhense. Dentre suas iniciativas, destaca-se a atuação como Agência de Mercado, Fomento e Gestão Financeira da Política de REDD+ (Redução das Emissões por Desmatamento e Degradação Florestal) e PSA (Pagamento por Serviços Ambientais) no âmbito da Estratégia Nacional para REDD+ no Estado do Maranhão. Nesse contexto, a MAPA tem como objetivo administrar e disponibilizar ativos e créditos decorrentes de serviços e produtos ambientais, além de reduzir as emissões provenientes do desmatamento e da degradação florestal, resultantes de programas, subprogramas, planos e projetos. Para isso, a empresa foca na criação de arranjos financeiros, econômicos e de investimentos verdes, bem como no desenvolvimento de estratégias inovadoras para a mobilização e captação de recursos financeiros e investimentos sustentáveis.</w:t>
      </w:r>
    </w:p>
    <w:p w14:paraId="479CB547" w14:textId="77777777" w:rsidR="00D87550"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lastRenderedPageBreak/>
        <w:t>Como Órgão responsável pela Comercialização, Mercados, Fomento e Gestão Financeira, caberá à MAPA, conduzir o arranjo financeiro do Sistema Jurisdicional de REDD+ e PSA (Pagamento por Serviços Ambientais) do Estado do Maranhão. Para isso, a MAPA pautará suas ações na eficiência administrativa e nos preceitos estabelecidos pelos órgãos de controle, em conformidade com a Lei Federal n</w:t>
      </w:r>
      <w:r w:rsidRPr="007D72B9">
        <w:rPr>
          <w:rFonts w:ascii="Century Schoolbook" w:hAnsi="Century Schoolbook"/>
          <w:strike/>
          <w:sz w:val="20"/>
          <w:szCs w:val="20"/>
        </w:rPr>
        <w:t>º</w:t>
      </w:r>
      <w:r w:rsidRPr="007D72B9">
        <w:rPr>
          <w:rFonts w:ascii="Century Schoolbook" w:hAnsi="Century Schoolbook"/>
          <w:sz w:val="20"/>
          <w:szCs w:val="20"/>
        </w:rPr>
        <w:t xml:space="preserve"> 13.303/2016 (Lei das Estatais) e a Lei Federal n</w:t>
      </w:r>
      <w:r w:rsidRPr="007D72B9">
        <w:rPr>
          <w:rFonts w:ascii="Century Schoolbook" w:hAnsi="Century Schoolbook"/>
          <w:strike/>
          <w:sz w:val="20"/>
          <w:szCs w:val="20"/>
        </w:rPr>
        <w:t>º</w:t>
      </w:r>
      <w:r w:rsidRPr="007D72B9">
        <w:rPr>
          <w:rFonts w:ascii="Century Schoolbook" w:hAnsi="Century Schoolbook"/>
          <w:sz w:val="20"/>
          <w:szCs w:val="20"/>
        </w:rPr>
        <w:t xml:space="preserve"> 6.385/1976, que regulamenta o mercado de valores mobiliários. Dessa forma, a MAPA assegurará a transparência, a governança e a sustentabilidade financeira das iniciativas vinculadas ao REDD+ e ao PSA no estado.</w:t>
      </w:r>
    </w:p>
    <w:p w14:paraId="61E338C9"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Pr>
          <w:rFonts w:ascii="Century Schoolbook" w:hAnsi="Century Schoolbook"/>
          <w:sz w:val="20"/>
          <w:szCs w:val="20"/>
        </w:rPr>
        <w:t xml:space="preserve">Como instrumento transformador da economia maranhense, a MAPA recebeu do seu ente controlador a incumbência de operacionalizar o Programa Mãos à Obra, que objetiva </w:t>
      </w:r>
      <w:r w:rsidRPr="00887122">
        <w:rPr>
          <w:rFonts w:ascii="Century Schoolbook" w:hAnsi="Century Schoolbook"/>
          <w:sz w:val="20"/>
          <w:szCs w:val="20"/>
        </w:rPr>
        <w:t>agilizar os serviços de manutenção dos prédios públicos da rede estadual nos 217</w:t>
      </w:r>
      <w:r>
        <w:rPr>
          <w:rFonts w:ascii="Century Schoolbook" w:hAnsi="Century Schoolbook"/>
          <w:sz w:val="20"/>
          <w:szCs w:val="20"/>
        </w:rPr>
        <w:t xml:space="preserve"> (duzentos e dezessete)</w:t>
      </w:r>
      <w:r w:rsidRPr="00887122">
        <w:rPr>
          <w:rFonts w:ascii="Century Schoolbook" w:hAnsi="Century Schoolbook"/>
          <w:sz w:val="20"/>
          <w:szCs w:val="20"/>
        </w:rPr>
        <w:t xml:space="preserve"> municípios do estado, que atualmente conta com mais de 3.500 </w:t>
      </w:r>
      <w:r>
        <w:rPr>
          <w:rFonts w:ascii="Century Schoolbook" w:hAnsi="Century Schoolbook"/>
          <w:sz w:val="20"/>
          <w:szCs w:val="20"/>
        </w:rPr>
        <w:t xml:space="preserve">(três mil e quinhentos) </w:t>
      </w:r>
      <w:r w:rsidRPr="00887122">
        <w:rPr>
          <w:rFonts w:ascii="Century Schoolbook" w:hAnsi="Century Schoolbook"/>
          <w:sz w:val="20"/>
          <w:szCs w:val="20"/>
        </w:rPr>
        <w:t>imóveis</w:t>
      </w:r>
      <w:r>
        <w:rPr>
          <w:rFonts w:ascii="Century Schoolbook" w:hAnsi="Century Schoolbook"/>
          <w:sz w:val="20"/>
          <w:szCs w:val="20"/>
        </w:rPr>
        <w:t xml:space="preserve">, onde a </w:t>
      </w:r>
      <w:r w:rsidRPr="00887122">
        <w:rPr>
          <w:rFonts w:ascii="Century Schoolbook" w:hAnsi="Century Schoolbook"/>
          <w:sz w:val="20"/>
          <w:szCs w:val="20"/>
        </w:rPr>
        <w:t>Secretaria de Estado de Governo (SEGOV) coordena</w:t>
      </w:r>
      <w:r>
        <w:rPr>
          <w:rFonts w:ascii="Century Schoolbook" w:hAnsi="Century Schoolbook"/>
          <w:sz w:val="20"/>
          <w:szCs w:val="20"/>
        </w:rPr>
        <w:t xml:space="preserve"> </w:t>
      </w:r>
      <w:r w:rsidRPr="00887122">
        <w:rPr>
          <w:rFonts w:ascii="Century Schoolbook" w:hAnsi="Century Schoolbook"/>
          <w:sz w:val="20"/>
          <w:szCs w:val="20"/>
        </w:rPr>
        <w:t xml:space="preserve">o programa e </w:t>
      </w:r>
      <w:r>
        <w:rPr>
          <w:rFonts w:ascii="Century Schoolbook" w:hAnsi="Century Schoolbook"/>
          <w:sz w:val="20"/>
          <w:szCs w:val="20"/>
        </w:rPr>
        <w:t>cabe à MAPA</w:t>
      </w:r>
      <w:r w:rsidRPr="00887122">
        <w:rPr>
          <w:rFonts w:ascii="Century Schoolbook" w:hAnsi="Century Schoolbook"/>
          <w:sz w:val="20"/>
          <w:szCs w:val="20"/>
        </w:rPr>
        <w:t xml:space="preserve"> a respons</w:t>
      </w:r>
      <w:r>
        <w:rPr>
          <w:rFonts w:ascii="Century Schoolbook" w:hAnsi="Century Schoolbook"/>
          <w:sz w:val="20"/>
          <w:szCs w:val="20"/>
        </w:rPr>
        <w:t>abilidade</w:t>
      </w:r>
      <w:r w:rsidRPr="00887122">
        <w:rPr>
          <w:rFonts w:ascii="Century Schoolbook" w:hAnsi="Century Schoolbook"/>
          <w:sz w:val="20"/>
          <w:szCs w:val="20"/>
        </w:rPr>
        <w:t xml:space="preserve"> pelo credenciamento e fiscalização dos serviços prestados.</w:t>
      </w:r>
    </w:p>
    <w:p w14:paraId="6506689C"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A empresa é regida pelas normas de direito privado, em estrita conformidade com a Lei das Sociedades por Ações (Lei n</w:t>
      </w:r>
      <w:r w:rsidRPr="007D72B9">
        <w:rPr>
          <w:rFonts w:ascii="Century Schoolbook" w:hAnsi="Century Schoolbook"/>
          <w:strike/>
          <w:sz w:val="20"/>
          <w:szCs w:val="20"/>
        </w:rPr>
        <w:t>º</w:t>
      </w:r>
      <w:r w:rsidRPr="007D72B9">
        <w:rPr>
          <w:rFonts w:ascii="Century Schoolbook" w:hAnsi="Century Schoolbook"/>
          <w:sz w:val="20"/>
          <w:szCs w:val="20"/>
        </w:rPr>
        <w:t xml:space="preserve"> 6.404, de 15 de dezembro de 1976) e a Lei n</w:t>
      </w:r>
      <w:r w:rsidRPr="007D72B9">
        <w:rPr>
          <w:rFonts w:ascii="Century Schoolbook" w:hAnsi="Century Schoolbook"/>
          <w:strike/>
          <w:sz w:val="20"/>
          <w:szCs w:val="20"/>
        </w:rPr>
        <w:t>º</w:t>
      </w:r>
      <w:r w:rsidRPr="007D72B9">
        <w:rPr>
          <w:rFonts w:ascii="Century Schoolbook" w:hAnsi="Century Schoolbook"/>
          <w:sz w:val="20"/>
          <w:szCs w:val="20"/>
        </w:rPr>
        <w:t xml:space="preserve"> 13.303, de 30 de junho de 2016, que dispõe sobre o estatuto jurídico das empresas públicas, sociedades de economia mista e suas subsidiárias, aplicável à União, aos Estados, ao Distrito Federal e aos Municípios. Essas legislações estabelecem as diretrizes para a gestão, transparência, governança e controle dessas entidades, garantindo alinhamento com os princípios da administração pública e do setor privado.</w:t>
      </w:r>
    </w:p>
    <w:p w14:paraId="41E81099"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Além disso, a MAPA S.A., opera sob as diretrizes estabelecidas em seu Estatuto Social, que define sua estrutura organizacional, objetivos e competências, e em seu Regimento Interno, que regulamenta os processos administrativos e operacionais da empresa, além de sujeitar-se a outras legislações pertinentes.</w:t>
      </w:r>
    </w:p>
    <w:p w14:paraId="7ED194F2" w14:textId="77777777" w:rsidR="00D87550" w:rsidRPr="007D72B9" w:rsidRDefault="00D87550" w:rsidP="00D87550">
      <w:pPr>
        <w:spacing w:before="120" w:after="120" w:line="360" w:lineRule="auto"/>
        <w:jc w:val="both"/>
        <w:rPr>
          <w:rFonts w:ascii="Century Schoolbook" w:hAnsi="Century Schoolbook"/>
          <w:sz w:val="20"/>
          <w:szCs w:val="20"/>
        </w:rPr>
      </w:pPr>
    </w:p>
    <w:p w14:paraId="494C002C" w14:textId="77777777" w:rsidR="00D87550" w:rsidRPr="007D72B9" w:rsidRDefault="00D87550" w:rsidP="00D87550">
      <w:pPr>
        <w:pStyle w:val="PargrafodaLista"/>
        <w:numPr>
          <w:ilvl w:val="0"/>
          <w:numId w:val="2"/>
        </w:numPr>
        <w:spacing w:before="240" w:after="240" w:line="360" w:lineRule="auto"/>
        <w:ind w:left="0" w:firstLine="0"/>
        <w:contextualSpacing w:val="0"/>
        <w:jc w:val="both"/>
        <w:rPr>
          <w:rFonts w:ascii="Century Schoolbook" w:hAnsi="Century Schoolbook"/>
          <w:b/>
          <w:bCs/>
          <w:sz w:val="20"/>
          <w:szCs w:val="20"/>
        </w:rPr>
      </w:pPr>
      <w:r w:rsidRPr="007D72B9">
        <w:rPr>
          <w:rFonts w:ascii="Century Schoolbook" w:hAnsi="Century Schoolbook"/>
          <w:b/>
          <w:bCs/>
          <w:sz w:val="20"/>
          <w:szCs w:val="20"/>
        </w:rPr>
        <w:t>BASE PARA PREPARAÇÃO E APRESENTAÇÃO DAS DEMONSTRAÇÕES</w:t>
      </w:r>
    </w:p>
    <w:p w14:paraId="03AF865C" w14:textId="77777777" w:rsidR="00D87550" w:rsidRPr="007D72B9" w:rsidRDefault="00D87550" w:rsidP="00D87550">
      <w:pPr>
        <w:pStyle w:val="PargrafodaLista"/>
        <w:spacing w:before="240" w:after="240" w:line="360" w:lineRule="auto"/>
        <w:ind w:left="0"/>
        <w:contextualSpacing w:val="0"/>
        <w:jc w:val="both"/>
        <w:rPr>
          <w:rFonts w:ascii="Century Schoolbook" w:hAnsi="Century Schoolbook"/>
          <w:sz w:val="20"/>
          <w:szCs w:val="20"/>
        </w:rPr>
      </w:pPr>
    </w:p>
    <w:p w14:paraId="7FC219E3"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As demonstrações contábeis foram elaboradas em conformidade com as práticas contábeis vigentes no Brasil e estão alinhadas aos pronunciamentos emitidos pelo Comitê de Pronunciamentos Contábeis (CPC).</w:t>
      </w:r>
    </w:p>
    <w:p w14:paraId="54680895" w14:textId="77777777" w:rsidR="00D87550" w:rsidRDefault="00D87550" w:rsidP="00D87550">
      <w:pPr>
        <w:pStyle w:val="PargrafodaLista"/>
        <w:spacing w:before="120" w:after="120" w:line="360" w:lineRule="auto"/>
        <w:ind w:left="0"/>
        <w:contextualSpacing w:val="0"/>
        <w:jc w:val="both"/>
        <w:rPr>
          <w:rFonts w:ascii="Century Schoolbook" w:hAnsi="Century Schoolbook"/>
          <w:b/>
          <w:bCs/>
          <w:sz w:val="20"/>
          <w:szCs w:val="20"/>
        </w:rPr>
      </w:pPr>
      <w:r w:rsidRPr="007F58C5">
        <w:rPr>
          <w:rFonts w:ascii="Century Schoolbook" w:hAnsi="Century Schoolbook"/>
          <w:b/>
          <w:bCs/>
          <w:sz w:val="20"/>
          <w:szCs w:val="20"/>
        </w:rPr>
        <w:t>Erros, Mudanças nas Políticas e Estimativas Contábeis</w:t>
      </w:r>
      <w:r>
        <w:rPr>
          <w:rFonts w:ascii="Century Schoolbook" w:hAnsi="Century Schoolbook"/>
          <w:b/>
          <w:bCs/>
          <w:sz w:val="20"/>
          <w:szCs w:val="20"/>
        </w:rPr>
        <w:t>:</w:t>
      </w:r>
    </w:p>
    <w:p w14:paraId="361E245B" w14:textId="77777777" w:rsidR="00D87550" w:rsidRPr="005410D3" w:rsidRDefault="00D87550" w:rsidP="00D87550">
      <w:pPr>
        <w:pStyle w:val="PargrafodaLista"/>
        <w:numPr>
          <w:ilvl w:val="0"/>
          <w:numId w:val="4"/>
        </w:numPr>
        <w:spacing w:before="120" w:after="120" w:line="360" w:lineRule="auto"/>
        <w:ind w:left="0" w:firstLine="0"/>
        <w:contextualSpacing w:val="0"/>
        <w:jc w:val="both"/>
        <w:rPr>
          <w:rFonts w:ascii="Century Schoolbook" w:hAnsi="Century Schoolbook"/>
          <w:sz w:val="20"/>
          <w:szCs w:val="20"/>
        </w:rPr>
      </w:pPr>
      <w:r w:rsidRPr="005410D3">
        <w:rPr>
          <w:rFonts w:ascii="Century Schoolbook" w:hAnsi="Century Schoolbook"/>
          <w:sz w:val="20"/>
          <w:szCs w:val="20"/>
        </w:rPr>
        <w:t>Retificação de erros relacionados a provisão de débitos inscritos em Dívida Ativa da União e Provisão de Conv</w:t>
      </w:r>
      <w:r>
        <w:rPr>
          <w:rFonts w:ascii="Century Schoolbook" w:hAnsi="Century Schoolbook"/>
          <w:sz w:val="20"/>
          <w:szCs w:val="20"/>
        </w:rPr>
        <w:t>ênio firmado entre MAPA e SEAP para a construção de bens móveis utilizados na sede da empresa.</w:t>
      </w:r>
    </w:p>
    <w:p w14:paraId="3D6583EF" w14:textId="77777777" w:rsidR="00D87550" w:rsidRDefault="00D87550" w:rsidP="00D87550">
      <w:pPr>
        <w:pStyle w:val="PargrafodaLista"/>
        <w:spacing w:before="240" w:after="240" w:line="360" w:lineRule="auto"/>
        <w:ind w:left="0"/>
        <w:contextualSpacing w:val="0"/>
        <w:jc w:val="both"/>
        <w:rPr>
          <w:rFonts w:ascii="Century Schoolbook" w:hAnsi="Century Schoolbook"/>
          <w:sz w:val="20"/>
          <w:szCs w:val="20"/>
        </w:rPr>
      </w:pPr>
    </w:p>
    <w:p w14:paraId="7A834F99" w14:textId="77777777" w:rsidR="00D87550" w:rsidRPr="007D72B9" w:rsidRDefault="00D87550" w:rsidP="00D87550">
      <w:pPr>
        <w:pStyle w:val="PargrafodaLista"/>
        <w:numPr>
          <w:ilvl w:val="0"/>
          <w:numId w:val="1"/>
        </w:numPr>
        <w:spacing w:before="240" w:after="240" w:line="360" w:lineRule="auto"/>
        <w:ind w:left="0" w:firstLine="0"/>
        <w:contextualSpacing w:val="0"/>
        <w:jc w:val="both"/>
        <w:rPr>
          <w:rFonts w:ascii="Century Schoolbook" w:hAnsi="Century Schoolbook"/>
          <w:b/>
          <w:bCs/>
          <w:sz w:val="20"/>
          <w:szCs w:val="20"/>
        </w:rPr>
      </w:pPr>
      <w:r w:rsidRPr="007D72B9">
        <w:rPr>
          <w:rFonts w:ascii="Century Schoolbook" w:hAnsi="Century Schoolbook"/>
          <w:b/>
          <w:bCs/>
          <w:sz w:val="20"/>
          <w:szCs w:val="20"/>
        </w:rPr>
        <w:t>SUMÁRIO DAS PRINCIPAIS PRÁTICAS CONTÁBEIS</w:t>
      </w:r>
    </w:p>
    <w:p w14:paraId="1A919061" w14:textId="77777777" w:rsidR="00D87550" w:rsidRPr="007D72B9" w:rsidRDefault="00D87550" w:rsidP="00D87550">
      <w:pPr>
        <w:spacing w:before="240" w:after="240" w:line="360" w:lineRule="auto"/>
        <w:jc w:val="both"/>
        <w:rPr>
          <w:rFonts w:ascii="Century Schoolbook" w:hAnsi="Century Schoolbook"/>
          <w:b/>
          <w:bCs/>
          <w:sz w:val="20"/>
          <w:szCs w:val="20"/>
        </w:rPr>
      </w:pPr>
    </w:p>
    <w:p w14:paraId="5D5C8D03"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 xml:space="preserve">As principais práticas contábeis adotadas no Brasil estão alinhadas às políticas estabelecidas pela legislação societária brasileira, bem como aos pronunciamentos e interpretações emitidos pelo Comitê de Pronunciamentos </w:t>
      </w:r>
      <w:r w:rsidRPr="007D72B9">
        <w:rPr>
          <w:rFonts w:ascii="Century Schoolbook" w:hAnsi="Century Schoolbook"/>
          <w:sz w:val="20"/>
          <w:szCs w:val="20"/>
        </w:rPr>
        <w:lastRenderedPageBreak/>
        <w:t>Contábeis (CPC). Esses pronunciamentos são elaborados em conformidade com as Normas Internacionais de Contabilidade, visando a harmonização dos padrões contábeis em âmbito global. Além disso, tais normas são aprovadas e regulamentadas por órgãos competentes, como a Comissão de Valores Mobiliários (CVM) e o Conselho Federal de Contabilidade (CFC), que garantem sua aplicação e fiscalização no mercado brasileiro.</w:t>
      </w:r>
    </w:p>
    <w:p w14:paraId="429A99A3"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N</w:t>
      </w:r>
      <w:r>
        <w:rPr>
          <w:rFonts w:ascii="Century Schoolbook" w:hAnsi="Century Schoolbook"/>
          <w:sz w:val="20"/>
          <w:szCs w:val="20"/>
        </w:rPr>
        <w:t>o âmbito da</w:t>
      </w:r>
      <w:r w:rsidRPr="007D72B9">
        <w:rPr>
          <w:rFonts w:ascii="Century Schoolbook" w:hAnsi="Century Schoolbook"/>
          <w:sz w:val="20"/>
          <w:szCs w:val="20"/>
        </w:rPr>
        <w:t xml:space="preserve"> Maranhão Parcerias S.A - MAPA, essas práticas são rigorosamente aplicadas em todo o período abrangido pelas demonstrações contábeis ora apresentadas. A empresa assegura o cumprimento integral dos preceitos legais, das normativas aplicáveis e dos princípios contábeis geralmente aceitos, incluindo a observância às determinações da legislação societária, dos pronunciamentos do CPC e das normas internacionais. Esse compromisso reflete a busca constante da MAPA pela transparência, confiabilidade e precisão das informações contábeis, conforme exposto a seguir: </w:t>
      </w:r>
    </w:p>
    <w:p w14:paraId="4004CB1F"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3.1 Moeda funcional de apresentação das demonstrações</w:t>
      </w:r>
    </w:p>
    <w:p w14:paraId="12F133FD"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As demonstrações financeiras da MAPA, foram elaboradas e estão apresentadas em Real, moeda funcional brasileira.</w:t>
      </w:r>
    </w:p>
    <w:p w14:paraId="4A642E93"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b/>
          <w:bCs/>
          <w:sz w:val="20"/>
          <w:szCs w:val="20"/>
        </w:rPr>
      </w:pPr>
      <w:r w:rsidRPr="007D72B9">
        <w:rPr>
          <w:rFonts w:ascii="Century Schoolbook" w:hAnsi="Century Schoolbook"/>
          <w:b/>
          <w:bCs/>
          <w:sz w:val="20"/>
          <w:szCs w:val="20"/>
        </w:rPr>
        <w:t>3.2 Determinação do resultado</w:t>
      </w:r>
    </w:p>
    <w:p w14:paraId="005BAA0D"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 xml:space="preserve">O resultado do exercício é apurado com base no Princípio da Competência, </w:t>
      </w:r>
      <w:r>
        <w:rPr>
          <w:rFonts w:ascii="Century Schoolbook" w:hAnsi="Century Schoolbook"/>
          <w:sz w:val="20"/>
          <w:szCs w:val="20"/>
        </w:rPr>
        <w:t>onde</w:t>
      </w:r>
      <w:r w:rsidRPr="007D72B9">
        <w:rPr>
          <w:rFonts w:ascii="Century Schoolbook" w:hAnsi="Century Schoolbook"/>
          <w:sz w:val="20"/>
          <w:szCs w:val="20"/>
        </w:rPr>
        <w:t xml:space="preserve"> receitas e despesas devem ser reconhecidas no período em que são geradas, independentemente do momento de seu recebimento ou pagamento. Além disso, quando houver correlação direta entre receitas e despesas, ambas devem ser registradas simultaneamente, garantindo que o resultado do período reflita de maneira fiel e precisa o desempenho econômico da empresa. </w:t>
      </w:r>
    </w:p>
    <w:p w14:paraId="579776BC"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b/>
          <w:bCs/>
          <w:sz w:val="20"/>
          <w:szCs w:val="20"/>
        </w:rPr>
      </w:pPr>
      <w:r w:rsidRPr="007D72B9">
        <w:rPr>
          <w:rFonts w:ascii="Century Schoolbook" w:hAnsi="Century Schoolbook"/>
          <w:b/>
          <w:bCs/>
          <w:sz w:val="20"/>
          <w:szCs w:val="20"/>
        </w:rPr>
        <w:t>3.3 Continuidade</w:t>
      </w:r>
    </w:p>
    <w:p w14:paraId="68B2E51C"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As demonstrações financeiras evidenciam que a companhia tem registrado resultados deficitários em reiterados exercícios. No entanto, esses resultados não comprometem sua continuidade operacional, uma vez que a empresa mantém condições para operar normalmente no médio e longo prazo. Ressalt</w:t>
      </w:r>
      <w:r>
        <w:rPr>
          <w:rFonts w:ascii="Century Schoolbook" w:hAnsi="Century Schoolbook"/>
          <w:sz w:val="20"/>
          <w:szCs w:val="20"/>
        </w:rPr>
        <w:t>e</w:t>
      </w:r>
      <w:r w:rsidRPr="007D72B9">
        <w:rPr>
          <w:rFonts w:ascii="Century Schoolbook" w:hAnsi="Century Schoolbook"/>
          <w:sz w:val="20"/>
          <w:szCs w:val="20"/>
        </w:rPr>
        <w:t xml:space="preserve">-se, contudo, que a manutenção de suas atividades depende significativamente de repasses financeiros do seu ente controlador.  </w:t>
      </w:r>
    </w:p>
    <w:p w14:paraId="320C5118"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b/>
          <w:bCs/>
          <w:sz w:val="20"/>
          <w:szCs w:val="20"/>
        </w:rPr>
      </w:pPr>
      <w:r w:rsidRPr="007D72B9">
        <w:rPr>
          <w:rFonts w:ascii="Century Schoolbook" w:hAnsi="Century Schoolbook"/>
          <w:b/>
          <w:bCs/>
          <w:sz w:val="20"/>
          <w:szCs w:val="20"/>
        </w:rPr>
        <w:t>3.4 Caixas e equivalentes de caixa</w:t>
      </w:r>
    </w:p>
    <w:p w14:paraId="1D8FCB1B" w14:textId="77777777" w:rsidR="00D87550"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 xml:space="preserve">Os caixas e equivalentes de caixa referem-se aos </w:t>
      </w:r>
      <w:r>
        <w:rPr>
          <w:rFonts w:ascii="Century Schoolbook" w:hAnsi="Century Schoolbook"/>
          <w:sz w:val="20"/>
          <w:szCs w:val="20"/>
        </w:rPr>
        <w:t>instrumentos</w:t>
      </w:r>
      <w:r w:rsidRPr="007D72B9">
        <w:rPr>
          <w:rFonts w:ascii="Century Schoolbook" w:hAnsi="Century Schoolbook"/>
          <w:sz w:val="20"/>
          <w:szCs w:val="20"/>
        </w:rPr>
        <w:t xml:space="preserve"> financeiros de alta liquidez, que podem ser facilmente convertidos em dinheiro para o atendimento dos compromissos da companhia. Esses recursos estão representados por valores mantidos em contas bancárias e aplicações financeiras de resgate </w:t>
      </w:r>
      <w:r>
        <w:rPr>
          <w:rFonts w:ascii="Century Schoolbook" w:hAnsi="Century Schoolbook"/>
          <w:sz w:val="20"/>
          <w:szCs w:val="20"/>
        </w:rPr>
        <w:t>automático</w:t>
      </w:r>
      <w:r w:rsidRPr="007D72B9">
        <w:rPr>
          <w:rFonts w:ascii="Century Schoolbook" w:hAnsi="Century Schoolbook"/>
          <w:sz w:val="20"/>
          <w:szCs w:val="20"/>
        </w:rPr>
        <w:t>, ambos mensurados em moeda nacional (real brasileiro - BRL).</w:t>
      </w:r>
    </w:p>
    <w:p w14:paraId="306F85EE"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b/>
          <w:bCs/>
          <w:sz w:val="20"/>
          <w:szCs w:val="20"/>
        </w:rPr>
      </w:pPr>
      <w:r w:rsidRPr="007D72B9">
        <w:rPr>
          <w:rFonts w:ascii="Century Schoolbook" w:hAnsi="Century Schoolbook"/>
          <w:b/>
          <w:bCs/>
          <w:sz w:val="20"/>
          <w:szCs w:val="20"/>
        </w:rPr>
        <w:t>3.5 Estoques</w:t>
      </w:r>
    </w:p>
    <w:p w14:paraId="4171BB00"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 xml:space="preserve">Os estoques, que compreendem os bens móveis armazenados no almoxarifado da companhia, bem como os materiais de uso e consumo, são registrados pelo custo médio de aquisição. Esse método de avaliação resulta em um valor que pode variar em relação ao preço de mercado ou aos valores de realização, refletindo o custo histórico dos itens em vez de seu valor corrente. </w:t>
      </w:r>
    </w:p>
    <w:p w14:paraId="431FCA0A"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lastRenderedPageBreak/>
        <w:t>A adoção do custo médio como critério de avaliação garante uma distribuição equilibrada dos custos ao longo do tempo, proporcionando maior consistência e transparência nos registros contábeis. seguir, apresenta-se a composição dos estoques:</w:t>
      </w:r>
    </w:p>
    <w:p w14:paraId="3596AFB6"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 xml:space="preserve">- Bens móveis mantidos em almoxarifado: itens armazenados no almoxarifado, utilizados no cotidiano da empresa.  </w:t>
      </w:r>
    </w:p>
    <w:p w14:paraId="70DF96EE"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 Materiais de uso e consumo: insumos e suprimentos essenciais para o funcionamento das atividades operacionais.</w:t>
      </w:r>
    </w:p>
    <w:p w14:paraId="4CAE230B"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b/>
          <w:bCs/>
          <w:sz w:val="20"/>
          <w:szCs w:val="20"/>
        </w:rPr>
      </w:pPr>
      <w:r w:rsidRPr="007D72B9">
        <w:rPr>
          <w:rFonts w:ascii="Century Schoolbook" w:hAnsi="Century Schoolbook"/>
          <w:b/>
          <w:bCs/>
          <w:sz w:val="20"/>
          <w:szCs w:val="20"/>
        </w:rPr>
        <w:t>3.6 Movimentação de seguros SFH</w:t>
      </w:r>
    </w:p>
    <w:p w14:paraId="4F833D21"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Referem-se aos valores relativos a prêmios de seguros associados aos mutuários da antiga Companhia de Habitação Popular do Estado do Maranhão (COHAB/MA), denominação anterior da Maranhão Parcerias. Atualmente, esses valores estão em fase de estudos e análises para a verificação e confirmação do montante real a ser reconhecido. A conclusão desses estudos permitirá uma visão mais clara e confiável das obrigações e dos direitos relacionados aos prêmios de seguros, contribuindo para a transparência e a conformidade com as normas contábeis e legais.</w:t>
      </w:r>
    </w:p>
    <w:p w14:paraId="78CCF68C"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b/>
          <w:bCs/>
          <w:sz w:val="20"/>
          <w:szCs w:val="20"/>
        </w:rPr>
      </w:pPr>
      <w:r w:rsidRPr="007D72B9">
        <w:rPr>
          <w:rFonts w:ascii="Century Schoolbook" w:hAnsi="Century Schoolbook"/>
          <w:b/>
          <w:bCs/>
          <w:sz w:val="20"/>
          <w:szCs w:val="20"/>
        </w:rPr>
        <w:t>3.7 Imobilizado</w:t>
      </w:r>
    </w:p>
    <w:p w14:paraId="6A1B57B6"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 xml:space="preserve">Os itens do imobilizado são apresentados pelo custo de aquisição ou construção, deduzidos da depreciação acumulada, calculada pelo método linear ao longo do período de vida útil estimado do bem. Esse método assegura uma distribuição uniforme do custo do ativo, refletindo de maneira sistemática e racional a redução de seu valor ao longo do tempo. </w:t>
      </w:r>
    </w:p>
    <w:p w14:paraId="3600CEE3"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 xml:space="preserve">Quando um item do imobilizado é considerado inservível, ou seja, quando não há mais expectativa de geração de benefícios econômicos futuros, ele é baixado do patrimônio. Essa decisão é tomada somente após a exaustão de todas as tentativas de recuperação ou aproveitamento do bem, incluindo a avaliação de possíveis ganhos futuros. </w:t>
      </w:r>
    </w:p>
    <w:p w14:paraId="580DB846"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b/>
          <w:bCs/>
          <w:sz w:val="20"/>
          <w:szCs w:val="20"/>
        </w:rPr>
      </w:pPr>
      <w:bookmarkStart w:id="1" w:name="_Hlk190877451"/>
      <w:r w:rsidRPr="007D72B9">
        <w:rPr>
          <w:rFonts w:ascii="Century Schoolbook" w:hAnsi="Century Schoolbook"/>
          <w:b/>
          <w:bCs/>
          <w:sz w:val="20"/>
          <w:szCs w:val="20"/>
        </w:rPr>
        <w:t>3.8 Provisões</w:t>
      </w:r>
    </w:p>
    <w:bookmarkEnd w:id="1"/>
    <w:p w14:paraId="21633F28"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As provisões consistem no reconhecimento de uma obrigação presente decorrente de eventos passados, cuja liquidação resultará em uma saída provável de recursos que incorporam benefícios econômicos. Essas provisões são constituídas com base em estimativas técnicas e critérios estabelecidos pelas normas contábeis, visando assegurar que as demonstrações financeiras reflitam de maneira prudente e realista os riscos e obrigações assumidos pela empresa.</w:t>
      </w:r>
    </w:p>
    <w:p w14:paraId="777AA051"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Em decorrência da incorporação de várias sociedades de economia mista do Estado do Maranhão, a Maranhão Parcerias (MAPA) herdou passivos trabalhistas pertencentes a essas entidades. Como resultado, a empresa é parte passiva em diversas ações judiciais na Justiça do Trabalho. No entanto, o valor dessas demandas pode sofrer alterações devido a diversas variáveis, tais como decisões judiciais, acordos extrajudiciais ou mudanças na legislação trabalhista, conforme avaliação da Assessoria Jurídica da empresa. Diante disso, as provisões relacionadas a essas contingências podem ser revisadas e ajustadas periodicamente, de acordo com as circunstâncias e o desenvolvimento dos processos.</w:t>
      </w:r>
    </w:p>
    <w:p w14:paraId="36654BDF"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b/>
          <w:bCs/>
          <w:sz w:val="20"/>
          <w:szCs w:val="20"/>
        </w:rPr>
      </w:pPr>
      <w:r w:rsidRPr="007D72B9">
        <w:rPr>
          <w:rFonts w:ascii="Century Schoolbook" w:hAnsi="Century Schoolbook"/>
          <w:b/>
          <w:bCs/>
          <w:sz w:val="20"/>
          <w:szCs w:val="20"/>
        </w:rPr>
        <w:t>3.9 Fornecedores e prestadores de serviços</w:t>
      </w:r>
    </w:p>
    <w:p w14:paraId="671C7B02"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lastRenderedPageBreak/>
        <w:t>As contas a pagar a fornecedores e prestadores de serviços referem-se às obrigações financeiras decorrentes da aquisição de bens ou da contratação de serviços realizados no curso normal das operações da empresa. Essas obrigações são classificadas no passivo circulante quando o pagamento está previsto para ocorrer dentro do período de até um ano.</w:t>
      </w:r>
    </w:p>
    <w:p w14:paraId="4AA7E321"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b/>
          <w:bCs/>
          <w:sz w:val="20"/>
          <w:szCs w:val="20"/>
        </w:rPr>
      </w:pPr>
      <w:r w:rsidRPr="007D72B9">
        <w:rPr>
          <w:rFonts w:ascii="Century Schoolbook" w:hAnsi="Century Schoolbook"/>
          <w:b/>
          <w:bCs/>
          <w:sz w:val="20"/>
          <w:szCs w:val="20"/>
        </w:rPr>
        <w:t>3.10 Demonstração dos fluxos de caixa</w:t>
      </w:r>
    </w:p>
    <w:p w14:paraId="25C135F1"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A Demonstração dos Fluxos de Caixa foi elaborada por meio do método direto, que apresenta de forma detalhada as entradas e saídas de caixa provenientes das atividades operacionais, de investimento e de financiamento. Essa demonstração foi preparada em estrita conformidade com o Pronunciamento Técnico CPC 03 (R2) – Demonstração dos Fluxos de Caixa, que estabelece as diretrizes para a apresentação e estruturação dessas informações. O CPC 03 (R2) está alinhado às Normas Internacionais de Contabilidade – IAS 7 (IASB – BV2010).</w:t>
      </w:r>
    </w:p>
    <w:p w14:paraId="003F26F0"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b/>
          <w:bCs/>
          <w:sz w:val="20"/>
          <w:szCs w:val="20"/>
        </w:rPr>
      </w:pPr>
      <w:r w:rsidRPr="007D72B9">
        <w:rPr>
          <w:rFonts w:ascii="Century Schoolbook" w:hAnsi="Century Schoolbook"/>
          <w:b/>
          <w:bCs/>
          <w:sz w:val="20"/>
          <w:szCs w:val="20"/>
        </w:rPr>
        <w:t>3.11 Ajustes de exercícios anteriores</w:t>
      </w:r>
    </w:p>
    <w:p w14:paraId="11C56423"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Os ajustes de exercícios anteriores são realizados para corrigir eventuais incorreções identificadas nos saldos das contas do ativo e do passivo, garantindo que as demonstrações financeiras reflitam de maneira fiel e precisa a situação patrimonial e financeira da companhia. Esses ajustes são efetuados em conformidade com o Pronunciamento Técnico CPC 23 – Políticas Contábeis, Mudança de Estimativa e Retificação de Erro, que estabelece as diretrizes para o tratamento contábil de erros identificados em períodos anteriores. O CPC 23 está alinhado às Normas Internacionais de Contabilidade – IAS 8, assegurando a harmonização com os padrões globais. A aplicação desses ajustes visa garantir a transparência e a confiabilidade das informações contábeis, além de assegurar a comparabilidade das demonstrações financeiras ao longo do tempo.</w:t>
      </w:r>
    </w:p>
    <w:p w14:paraId="5C9F46DD" w14:textId="77777777" w:rsidR="00D87550" w:rsidRPr="007D72B9" w:rsidRDefault="00D87550" w:rsidP="00D87550">
      <w:pPr>
        <w:spacing w:before="120" w:after="120" w:line="360" w:lineRule="auto"/>
        <w:jc w:val="both"/>
        <w:rPr>
          <w:rFonts w:ascii="Century Schoolbook" w:hAnsi="Century Schoolbook"/>
          <w:b/>
          <w:bCs/>
          <w:sz w:val="20"/>
          <w:szCs w:val="20"/>
        </w:rPr>
      </w:pPr>
      <w:bookmarkStart w:id="2" w:name="_Hlk190877411"/>
      <w:r w:rsidRPr="007D72B9">
        <w:rPr>
          <w:rFonts w:ascii="Century Schoolbook" w:hAnsi="Century Schoolbook"/>
          <w:b/>
          <w:bCs/>
          <w:sz w:val="20"/>
          <w:szCs w:val="20"/>
        </w:rPr>
        <w:t>3.12 Eventos subsequentes ao encerramento</w:t>
      </w:r>
    </w:p>
    <w:p w14:paraId="656E84AD"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Ainda no primeiro trimestre de 202</w:t>
      </w:r>
      <w:r>
        <w:rPr>
          <w:rFonts w:ascii="Century Schoolbook" w:hAnsi="Century Schoolbook"/>
          <w:sz w:val="20"/>
          <w:szCs w:val="20"/>
        </w:rPr>
        <w:t>6</w:t>
      </w:r>
      <w:r w:rsidRPr="007D72B9">
        <w:rPr>
          <w:rFonts w:ascii="Century Schoolbook" w:hAnsi="Century Schoolbook"/>
          <w:sz w:val="20"/>
          <w:szCs w:val="20"/>
        </w:rPr>
        <w:t xml:space="preserve"> a empresa irá proceder a integralização do capital aportado por seu ente controlador durante o exercício 202</w:t>
      </w:r>
      <w:r>
        <w:rPr>
          <w:rFonts w:ascii="Century Schoolbook" w:hAnsi="Century Schoolbook"/>
          <w:sz w:val="20"/>
          <w:szCs w:val="20"/>
        </w:rPr>
        <w:t>5</w:t>
      </w:r>
      <w:r w:rsidRPr="007D72B9">
        <w:rPr>
          <w:rFonts w:ascii="Century Schoolbook" w:hAnsi="Century Schoolbook"/>
          <w:sz w:val="20"/>
          <w:szCs w:val="20"/>
        </w:rPr>
        <w:t xml:space="preserve">, o Governo do Estado do Maranhão, no total de R$ </w:t>
      </w:r>
      <w:r>
        <w:rPr>
          <w:rFonts w:ascii="Century Schoolbook" w:hAnsi="Century Schoolbook"/>
          <w:sz w:val="20"/>
          <w:szCs w:val="20"/>
        </w:rPr>
        <w:t>54.679.217,54</w:t>
      </w:r>
      <w:r w:rsidRPr="007D72B9">
        <w:rPr>
          <w:rFonts w:ascii="Century Schoolbook" w:hAnsi="Century Schoolbook"/>
          <w:sz w:val="20"/>
          <w:szCs w:val="20"/>
        </w:rPr>
        <w:t xml:space="preserve"> (cinquenta e </w:t>
      </w:r>
      <w:r>
        <w:rPr>
          <w:rFonts w:ascii="Century Schoolbook" w:hAnsi="Century Schoolbook"/>
          <w:sz w:val="20"/>
          <w:szCs w:val="20"/>
        </w:rPr>
        <w:t>quatro</w:t>
      </w:r>
      <w:r w:rsidRPr="007D72B9">
        <w:rPr>
          <w:rFonts w:ascii="Century Schoolbook" w:hAnsi="Century Schoolbook"/>
          <w:sz w:val="20"/>
          <w:szCs w:val="20"/>
        </w:rPr>
        <w:t xml:space="preserve"> milhões, </w:t>
      </w:r>
      <w:r>
        <w:rPr>
          <w:rFonts w:ascii="Century Schoolbook" w:hAnsi="Century Schoolbook"/>
          <w:sz w:val="20"/>
          <w:szCs w:val="20"/>
        </w:rPr>
        <w:t>seisc</w:t>
      </w:r>
      <w:r w:rsidRPr="007D72B9">
        <w:rPr>
          <w:rFonts w:ascii="Century Schoolbook" w:hAnsi="Century Schoolbook"/>
          <w:sz w:val="20"/>
          <w:szCs w:val="20"/>
        </w:rPr>
        <w:t xml:space="preserve">entos e </w:t>
      </w:r>
      <w:r>
        <w:rPr>
          <w:rFonts w:ascii="Century Schoolbook" w:hAnsi="Century Schoolbook"/>
          <w:sz w:val="20"/>
          <w:szCs w:val="20"/>
        </w:rPr>
        <w:t>seten</w:t>
      </w:r>
      <w:r w:rsidRPr="007D72B9">
        <w:rPr>
          <w:rFonts w:ascii="Century Schoolbook" w:hAnsi="Century Schoolbook"/>
          <w:sz w:val="20"/>
          <w:szCs w:val="20"/>
        </w:rPr>
        <w:t xml:space="preserve">ta e </w:t>
      </w:r>
      <w:r>
        <w:rPr>
          <w:rFonts w:ascii="Century Schoolbook" w:hAnsi="Century Schoolbook"/>
          <w:sz w:val="20"/>
          <w:szCs w:val="20"/>
        </w:rPr>
        <w:t>nove</w:t>
      </w:r>
      <w:r w:rsidRPr="007D72B9">
        <w:rPr>
          <w:rFonts w:ascii="Century Schoolbook" w:hAnsi="Century Schoolbook"/>
          <w:sz w:val="20"/>
          <w:szCs w:val="20"/>
        </w:rPr>
        <w:t xml:space="preserve"> mil, </w:t>
      </w:r>
      <w:r>
        <w:rPr>
          <w:rFonts w:ascii="Century Schoolbook" w:hAnsi="Century Schoolbook"/>
          <w:sz w:val="20"/>
          <w:szCs w:val="20"/>
        </w:rPr>
        <w:t>du</w:t>
      </w:r>
      <w:r w:rsidRPr="007D72B9">
        <w:rPr>
          <w:rFonts w:ascii="Century Schoolbook" w:hAnsi="Century Schoolbook"/>
          <w:sz w:val="20"/>
          <w:szCs w:val="20"/>
        </w:rPr>
        <w:t xml:space="preserve">zentos e </w:t>
      </w:r>
      <w:r>
        <w:rPr>
          <w:rFonts w:ascii="Century Schoolbook" w:hAnsi="Century Schoolbook"/>
          <w:sz w:val="20"/>
          <w:szCs w:val="20"/>
        </w:rPr>
        <w:t>dezessete</w:t>
      </w:r>
      <w:r w:rsidRPr="007D72B9">
        <w:rPr>
          <w:rFonts w:ascii="Century Schoolbook" w:hAnsi="Century Schoolbook"/>
          <w:sz w:val="20"/>
          <w:szCs w:val="20"/>
        </w:rPr>
        <w:t xml:space="preserve"> reais e </w:t>
      </w:r>
      <w:r>
        <w:rPr>
          <w:rFonts w:ascii="Century Schoolbook" w:hAnsi="Century Schoolbook"/>
          <w:sz w:val="20"/>
          <w:szCs w:val="20"/>
        </w:rPr>
        <w:t>cinquenta</w:t>
      </w:r>
      <w:r w:rsidRPr="007D72B9">
        <w:rPr>
          <w:rFonts w:ascii="Century Schoolbook" w:hAnsi="Century Schoolbook"/>
          <w:sz w:val="20"/>
          <w:szCs w:val="20"/>
        </w:rPr>
        <w:t xml:space="preserve"> e </w:t>
      </w:r>
      <w:r>
        <w:rPr>
          <w:rFonts w:ascii="Century Schoolbook" w:hAnsi="Century Schoolbook"/>
          <w:sz w:val="20"/>
          <w:szCs w:val="20"/>
        </w:rPr>
        <w:t>quatro</w:t>
      </w:r>
      <w:r w:rsidRPr="007D72B9">
        <w:rPr>
          <w:rFonts w:ascii="Century Schoolbook" w:hAnsi="Century Schoolbook"/>
          <w:sz w:val="20"/>
          <w:szCs w:val="20"/>
        </w:rPr>
        <w:t xml:space="preserve"> centavos), fazendo com que seu capital social seja aumentado para R$ </w:t>
      </w:r>
      <w:r>
        <w:rPr>
          <w:rFonts w:ascii="Century Schoolbook" w:hAnsi="Century Schoolbook"/>
          <w:sz w:val="20"/>
          <w:szCs w:val="20"/>
        </w:rPr>
        <w:t>543.847.645,04</w:t>
      </w:r>
      <w:r w:rsidRPr="007D72B9">
        <w:rPr>
          <w:rFonts w:ascii="Century Schoolbook" w:hAnsi="Century Schoolbook"/>
          <w:sz w:val="20"/>
          <w:szCs w:val="20"/>
        </w:rPr>
        <w:t xml:space="preserve"> (</w:t>
      </w:r>
      <w:r>
        <w:rPr>
          <w:rFonts w:ascii="Century Schoolbook" w:hAnsi="Century Schoolbook"/>
          <w:sz w:val="20"/>
          <w:szCs w:val="20"/>
        </w:rPr>
        <w:t>quinhento</w:t>
      </w:r>
      <w:r w:rsidRPr="007D72B9">
        <w:rPr>
          <w:rFonts w:ascii="Century Schoolbook" w:hAnsi="Century Schoolbook"/>
          <w:sz w:val="20"/>
          <w:szCs w:val="20"/>
        </w:rPr>
        <w:t xml:space="preserve">s e </w:t>
      </w:r>
      <w:r>
        <w:rPr>
          <w:rFonts w:ascii="Century Schoolbook" w:hAnsi="Century Schoolbook"/>
          <w:sz w:val="20"/>
          <w:szCs w:val="20"/>
        </w:rPr>
        <w:t>quar</w:t>
      </w:r>
      <w:r w:rsidRPr="007D72B9">
        <w:rPr>
          <w:rFonts w:ascii="Century Schoolbook" w:hAnsi="Century Schoolbook"/>
          <w:sz w:val="20"/>
          <w:szCs w:val="20"/>
        </w:rPr>
        <w:t xml:space="preserve">enta e </w:t>
      </w:r>
      <w:r>
        <w:rPr>
          <w:rFonts w:ascii="Century Schoolbook" w:hAnsi="Century Schoolbook"/>
          <w:sz w:val="20"/>
          <w:szCs w:val="20"/>
        </w:rPr>
        <w:t xml:space="preserve">três </w:t>
      </w:r>
      <w:r w:rsidRPr="007D72B9">
        <w:rPr>
          <w:rFonts w:ascii="Century Schoolbook" w:hAnsi="Century Schoolbook"/>
          <w:sz w:val="20"/>
          <w:szCs w:val="20"/>
        </w:rPr>
        <w:t xml:space="preserve">milhões, </w:t>
      </w:r>
      <w:r>
        <w:rPr>
          <w:rFonts w:ascii="Century Schoolbook" w:hAnsi="Century Schoolbook"/>
          <w:sz w:val="20"/>
          <w:szCs w:val="20"/>
        </w:rPr>
        <w:t>oito</w:t>
      </w:r>
      <w:r w:rsidRPr="007D72B9">
        <w:rPr>
          <w:rFonts w:ascii="Century Schoolbook" w:hAnsi="Century Schoolbook"/>
          <w:sz w:val="20"/>
          <w:szCs w:val="20"/>
        </w:rPr>
        <w:t>cento</w:t>
      </w:r>
      <w:r>
        <w:rPr>
          <w:rFonts w:ascii="Century Schoolbook" w:hAnsi="Century Schoolbook"/>
          <w:sz w:val="20"/>
          <w:szCs w:val="20"/>
        </w:rPr>
        <w:t>s</w:t>
      </w:r>
      <w:r w:rsidRPr="007D72B9">
        <w:rPr>
          <w:rFonts w:ascii="Century Schoolbook" w:hAnsi="Century Schoolbook"/>
          <w:sz w:val="20"/>
          <w:szCs w:val="20"/>
        </w:rPr>
        <w:t xml:space="preserve"> e </w:t>
      </w:r>
      <w:r>
        <w:rPr>
          <w:rFonts w:ascii="Century Schoolbook" w:hAnsi="Century Schoolbook"/>
          <w:sz w:val="20"/>
          <w:szCs w:val="20"/>
        </w:rPr>
        <w:t>quar</w:t>
      </w:r>
      <w:r w:rsidRPr="007D72B9">
        <w:rPr>
          <w:rFonts w:ascii="Century Schoolbook" w:hAnsi="Century Schoolbook"/>
          <w:sz w:val="20"/>
          <w:szCs w:val="20"/>
        </w:rPr>
        <w:t xml:space="preserve">enta e </w:t>
      </w:r>
      <w:r>
        <w:rPr>
          <w:rFonts w:ascii="Century Schoolbook" w:hAnsi="Century Schoolbook"/>
          <w:sz w:val="20"/>
          <w:szCs w:val="20"/>
        </w:rPr>
        <w:t>sete</w:t>
      </w:r>
      <w:r w:rsidRPr="007D72B9">
        <w:rPr>
          <w:rFonts w:ascii="Century Schoolbook" w:hAnsi="Century Schoolbook"/>
          <w:sz w:val="20"/>
          <w:szCs w:val="20"/>
        </w:rPr>
        <w:t xml:space="preserve"> mil, </w:t>
      </w:r>
      <w:r>
        <w:rPr>
          <w:rFonts w:ascii="Century Schoolbook" w:hAnsi="Century Schoolbook"/>
          <w:sz w:val="20"/>
          <w:szCs w:val="20"/>
        </w:rPr>
        <w:t>seis</w:t>
      </w:r>
      <w:r w:rsidRPr="007D72B9">
        <w:rPr>
          <w:rFonts w:ascii="Century Schoolbook" w:hAnsi="Century Schoolbook"/>
          <w:sz w:val="20"/>
          <w:szCs w:val="20"/>
        </w:rPr>
        <w:t xml:space="preserve">centos e </w:t>
      </w:r>
      <w:r>
        <w:rPr>
          <w:rFonts w:ascii="Century Schoolbook" w:hAnsi="Century Schoolbook"/>
          <w:sz w:val="20"/>
          <w:szCs w:val="20"/>
        </w:rPr>
        <w:t>quarenta</w:t>
      </w:r>
      <w:r w:rsidRPr="007D72B9">
        <w:rPr>
          <w:rFonts w:ascii="Century Schoolbook" w:hAnsi="Century Schoolbook"/>
          <w:sz w:val="20"/>
          <w:szCs w:val="20"/>
        </w:rPr>
        <w:t xml:space="preserve"> e </w:t>
      </w:r>
      <w:r>
        <w:rPr>
          <w:rFonts w:ascii="Century Schoolbook" w:hAnsi="Century Schoolbook"/>
          <w:sz w:val="20"/>
          <w:szCs w:val="20"/>
        </w:rPr>
        <w:t>cinco</w:t>
      </w:r>
      <w:r w:rsidRPr="007D72B9">
        <w:rPr>
          <w:rFonts w:ascii="Century Schoolbook" w:hAnsi="Century Schoolbook"/>
          <w:sz w:val="20"/>
          <w:szCs w:val="20"/>
        </w:rPr>
        <w:t xml:space="preserve"> reais e </w:t>
      </w:r>
      <w:r>
        <w:rPr>
          <w:rFonts w:ascii="Century Schoolbook" w:hAnsi="Century Schoolbook"/>
          <w:sz w:val="20"/>
          <w:szCs w:val="20"/>
        </w:rPr>
        <w:t>quatro</w:t>
      </w:r>
      <w:r w:rsidRPr="007D72B9">
        <w:rPr>
          <w:rFonts w:ascii="Century Schoolbook" w:hAnsi="Century Schoolbook"/>
          <w:sz w:val="20"/>
          <w:szCs w:val="20"/>
        </w:rPr>
        <w:t xml:space="preserve"> centavos).</w:t>
      </w:r>
      <w:bookmarkEnd w:id="2"/>
    </w:p>
    <w:p w14:paraId="5BE4BE95" w14:textId="77777777" w:rsidR="00D87550" w:rsidRDefault="00D87550" w:rsidP="00D87550">
      <w:pPr>
        <w:rPr>
          <w:rFonts w:ascii="Century Schoolbook" w:hAnsi="Century Schoolbook"/>
          <w:b/>
          <w:bCs/>
          <w:sz w:val="20"/>
          <w:szCs w:val="20"/>
        </w:rPr>
      </w:pPr>
      <w:r>
        <w:rPr>
          <w:rFonts w:ascii="Century Schoolbook" w:hAnsi="Century Schoolbook"/>
          <w:b/>
          <w:bCs/>
          <w:sz w:val="20"/>
          <w:szCs w:val="20"/>
        </w:rPr>
        <w:br w:type="page"/>
      </w:r>
    </w:p>
    <w:p w14:paraId="71703CE2"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lastRenderedPageBreak/>
        <w:t>NOTA 4 – CAIXA E EQUIVALENTES CAIXA</w:t>
      </w:r>
    </w:p>
    <w:p w14:paraId="79DC935F" w14:textId="77777777" w:rsidR="00D87550" w:rsidRDefault="00D87550" w:rsidP="00D87550">
      <w:pPr>
        <w:pStyle w:val="PargrafodaLista"/>
        <w:spacing w:before="120" w:after="120" w:line="360" w:lineRule="auto"/>
        <w:ind w:left="0"/>
        <w:contextualSpacing w:val="0"/>
        <w:jc w:val="both"/>
        <w:rPr>
          <w:rFonts w:ascii="Century Schoolbook" w:hAnsi="Century Schoolbook"/>
          <w:sz w:val="20"/>
          <w:szCs w:val="20"/>
        </w:rPr>
      </w:pPr>
    </w:p>
    <w:p w14:paraId="1E0EABA9" w14:textId="77777777" w:rsidR="00D87550"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A conta caixa e equivalentes de caixa é composta pelos valores mantidos em contas bancárias da empresa através de depósitos de clientes e mutuários e aportes oriundos do Tesouro Estadual para aumento de capital da companhia, além de aplicações financeiras de resgate imediato e automático.</w:t>
      </w:r>
    </w:p>
    <w:p w14:paraId="33DC2785" w14:textId="77777777" w:rsidR="00D87550" w:rsidRDefault="00D87550" w:rsidP="00D87550">
      <w:pPr>
        <w:pStyle w:val="PargrafodaLista"/>
        <w:spacing w:before="120" w:after="120" w:line="360" w:lineRule="auto"/>
        <w:ind w:left="0"/>
        <w:contextualSpacing w:val="0"/>
        <w:jc w:val="both"/>
        <w:rPr>
          <w:rFonts w:ascii="Century Schoolbook" w:hAnsi="Century Schoolbook"/>
          <w:sz w:val="20"/>
          <w:szCs w:val="20"/>
        </w:rPr>
      </w:pPr>
    </w:p>
    <w:tbl>
      <w:tblPr>
        <w:tblStyle w:val="TabelaSimples5"/>
        <w:tblW w:w="5024" w:type="pct"/>
        <w:tblLayout w:type="fixed"/>
        <w:tblLook w:val="04A0" w:firstRow="1" w:lastRow="0" w:firstColumn="1" w:lastColumn="0" w:noHBand="0" w:noVBand="1"/>
      </w:tblPr>
      <w:tblGrid>
        <w:gridCol w:w="7466"/>
        <w:gridCol w:w="1527"/>
        <w:gridCol w:w="141"/>
        <w:gridCol w:w="1382"/>
      </w:tblGrid>
      <w:tr w:rsidR="00D87550" w:rsidRPr="0094667C" w14:paraId="2F7E74E0" w14:textId="77777777" w:rsidTr="006B7A43">
        <w:trPr>
          <w:cnfStyle w:val="100000000000" w:firstRow="1" w:lastRow="0" w:firstColumn="0" w:lastColumn="0" w:oddVBand="0" w:evenVBand="0" w:oddHBand="0" w:evenHBand="0" w:firstRowFirstColumn="0" w:firstRowLastColumn="0" w:lastRowFirstColumn="0" w:lastRowLastColumn="0"/>
          <w:trHeight w:val="264"/>
        </w:trPr>
        <w:tc>
          <w:tcPr>
            <w:cnfStyle w:val="001000000100" w:firstRow="0" w:lastRow="0" w:firstColumn="1" w:lastColumn="0" w:oddVBand="0" w:evenVBand="0" w:oddHBand="0" w:evenHBand="0" w:firstRowFirstColumn="1" w:firstRowLastColumn="0" w:lastRowFirstColumn="0" w:lastRowLastColumn="0"/>
            <w:tcW w:w="3550" w:type="pct"/>
            <w:noWrap/>
            <w:hideMark/>
          </w:tcPr>
          <w:p w14:paraId="1FE4EAD7" w14:textId="77777777" w:rsidR="00D87550" w:rsidRPr="0094667C" w:rsidRDefault="00D87550" w:rsidP="006B7A43">
            <w:pPr>
              <w:rPr>
                <w:rFonts w:ascii="Century Schoolbook" w:hAnsi="Century Schoolbook"/>
                <w:kern w:val="0"/>
                <w:sz w:val="18"/>
                <w:szCs w:val="18"/>
                <w:lang w:eastAsia="pt-BR"/>
              </w:rPr>
            </w:pPr>
          </w:p>
        </w:tc>
        <w:tc>
          <w:tcPr>
            <w:tcW w:w="726" w:type="pct"/>
            <w:noWrap/>
            <w:hideMark/>
          </w:tcPr>
          <w:p w14:paraId="2C12058F" w14:textId="77777777" w:rsidR="00D87550" w:rsidRPr="0094667C" w:rsidRDefault="00D87550" w:rsidP="006B7A43">
            <w:pPr>
              <w:jc w:val="center"/>
              <w:cnfStyle w:val="100000000000" w:firstRow="1" w:lastRow="0" w:firstColumn="0" w:lastColumn="0" w:oddVBand="0" w:evenVBand="0" w:oddHBand="0" w:evenHBand="0" w:firstRowFirstColumn="0" w:firstRowLastColumn="0" w:lastRowFirstColumn="0" w:lastRowLastColumn="0"/>
              <w:rPr>
                <w:rFonts w:ascii="Century Schoolbook" w:hAnsi="Century Schoolbook"/>
                <w:b/>
                <w:bCs/>
                <w:color w:val="000000"/>
                <w:kern w:val="0"/>
                <w:sz w:val="18"/>
                <w:szCs w:val="18"/>
                <w:lang w:eastAsia="pt-BR"/>
              </w:rPr>
            </w:pPr>
            <w:r w:rsidRPr="0094667C">
              <w:rPr>
                <w:rFonts w:ascii="Century Schoolbook" w:hAnsi="Century Schoolbook"/>
                <w:b/>
                <w:bCs/>
                <w:color w:val="000000"/>
                <w:kern w:val="0"/>
                <w:sz w:val="18"/>
                <w:szCs w:val="18"/>
                <w:lang w:eastAsia="pt-BR"/>
              </w:rPr>
              <w:t>2024</w:t>
            </w:r>
          </w:p>
        </w:tc>
        <w:tc>
          <w:tcPr>
            <w:tcW w:w="724" w:type="pct"/>
            <w:gridSpan w:val="2"/>
            <w:noWrap/>
            <w:hideMark/>
          </w:tcPr>
          <w:p w14:paraId="4A6C156B" w14:textId="77777777" w:rsidR="00D87550" w:rsidRPr="0094667C" w:rsidRDefault="00D87550" w:rsidP="006B7A43">
            <w:pPr>
              <w:jc w:val="center"/>
              <w:cnfStyle w:val="100000000000" w:firstRow="1" w:lastRow="0" w:firstColumn="0" w:lastColumn="0" w:oddVBand="0" w:evenVBand="0" w:oddHBand="0" w:evenHBand="0" w:firstRowFirstColumn="0" w:firstRowLastColumn="0" w:lastRowFirstColumn="0" w:lastRowLastColumn="0"/>
              <w:rPr>
                <w:rFonts w:ascii="Century Schoolbook" w:hAnsi="Century Schoolbook"/>
                <w:b/>
                <w:bCs/>
                <w:color w:val="000000"/>
                <w:kern w:val="0"/>
                <w:sz w:val="18"/>
                <w:szCs w:val="18"/>
                <w:lang w:eastAsia="pt-BR"/>
              </w:rPr>
            </w:pPr>
            <w:r w:rsidRPr="0094667C">
              <w:rPr>
                <w:rFonts w:ascii="Century Schoolbook" w:hAnsi="Century Schoolbook"/>
                <w:b/>
                <w:bCs/>
                <w:color w:val="000000"/>
                <w:kern w:val="0"/>
                <w:sz w:val="18"/>
                <w:szCs w:val="18"/>
                <w:lang w:eastAsia="pt-BR"/>
              </w:rPr>
              <w:t>2025</w:t>
            </w:r>
          </w:p>
        </w:tc>
      </w:tr>
      <w:tr w:rsidR="00D87550" w:rsidRPr="0094667C" w14:paraId="0EF57D3A"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21568866"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CEF C/C 18623</w:t>
            </w:r>
          </w:p>
        </w:tc>
        <w:tc>
          <w:tcPr>
            <w:tcW w:w="726" w:type="pct"/>
            <w:noWrap/>
            <w:hideMark/>
          </w:tcPr>
          <w:p w14:paraId="0FBB6E6D"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0,57</w:t>
            </w:r>
          </w:p>
        </w:tc>
        <w:tc>
          <w:tcPr>
            <w:tcW w:w="724" w:type="pct"/>
            <w:gridSpan w:val="2"/>
            <w:noWrap/>
            <w:hideMark/>
          </w:tcPr>
          <w:p w14:paraId="2487F602"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0,57</w:t>
            </w:r>
          </w:p>
        </w:tc>
      </w:tr>
      <w:tr w:rsidR="00D87550" w:rsidRPr="0094667C" w14:paraId="082C4DCA"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7AD1CD05"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BANCO DO BRASIL C/8.630-4 CONTA D</w:t>
            </w:r>
          </w:p>
        </w:tc>
        <w:tc>
          <w:tcPr>
            <w:tcW w:w="726" w:type="pct"/>
            <w:noWrap/>
            <w:hideMark/>
          </w:tcPr>
          <w:p w14:paraId="5DB3266F"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c>
          <w:tcPr>
            <w:tcW w:w="724" w:type="pct"/>
            <w:gridSpan w:val="2"/>
            <w:noWrap/>
            <w:hideMark/>
          </w:tcPr>
          <w:p w14:paraId="3CD666A3"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r>
      <w:tr w:rsidR="00D87550" w:rsidRPr="0094667C" w14:paraId="188CC66A"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26B0F84E"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BANCO DO BRASIL C/8644-4 C/SEGOV</w:t>
            </w:r>
          </w:p>
        </w:tc>
        <w:tc>
          <w:tcPr>
            <w:tcW w:w="726" w:type="pct"/>
            <w:noWrap/>
            <w:hideMark/>
          </w:tcPr>
          <w:p w14:paraId="6E328B78"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c>
          <w:tcPr>
            <w:tcW w:w="724" w:type="pct"/>
            <w:gridSpan w:val="2"/>
            <w:noWrap/>
            <w:hideMark/>
          </w:tcPr>
          <w:p w14:paraId="241D7135"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r>
      <w:tr w:rsidR="00D87550" w:rsidRPr="0094667C" w14:paraId="08FEB715"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6BA480E9"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BANCO DO BRASIL - C/C 8.841-2 AG.: 3846-6</w:t>
            </w:r>
          </w:p>
        </w:tc>
        <w:tc>
          <w:tcPr>
            <w:tcW w:w="726" w:type="pct"/>
            <w:noWrap/>
            <w:hideMark/>
          </w:tcPr>
          <w:p w14:paraId="20F25186"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c>
          <w:tcPr>
            <w:tcW w:w="724" w:type="pct"/>
            <w:gridSpan w:val="2"/>
            <w:noWrap/>
            <w:hideMark/>
          </w:tcPr>
          <w:p w14:paraId="0B2E444B"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r>
      <w:tr w:rsidR="00D87550" w:rsidRPr="0094667C" w14:paraId="100D5637"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2EC25F32"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BANCO DO BRASIL - C/C 9071-9 (LOTEMA)</w:t>
            </w:r>
          </w:p>
        </w:tc>
        <w:tc>
          <w:tcPr>
            <w:tcW w:w="726" w:type="pct"/>
            <w:noWrap/>
            <w:hideMark/>
          </w:tcPr>
          <w:p w14:paraId="71CACE56"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c>
          <w:tcPr>
            <w:tcW w:w="724" w:type="pct"/>
            <w:gridSpan w:val="2"/>
            <w:noWrap/>
            <w:hideMark/>
          </w:tcPr>
          <w:p w14:paraId="0C5ABCE5"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r>
      <w:tr w:rsidR="00D87550" w:rsidRPr="0094667C" w14:paraId="7406389B"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6AB13838"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BANCO DO BRASIL - AG.: 3846-6 - C/C 9829-9 - MAPA CONTA C</w:t>
            </w:r>
          </w:p>
        </w:tc>
        <w:tc>
          <w:tcPr>
            <w:tcW w:w="726" w:type="pct"/>
            <w:noWrap/>
            <w:hideMark/>
          </w:tcPr>
          <w:p w14:paraId="2BC6BE0C"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c>
          <w:tcPr>
            <w:tcW w:w="724" w:type="pct"/>
            <w:gridSpan w:val="2"/>
            <w:noWrap/>
            <w:hideMark/>
          </w:tcPr>
          <w:p w14:paraId="027595F3"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r>
      <w:tr w:rsidR="00D87550" w:rsidRPr="0094667C" w14:paraId="3A7F9B55"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2DB68E65"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BANCO DO BRASIL - AG.: 3846-6 - C/C 11075-2 - MAPA CARTAO CORPORATVO</w:t>
            </w:r>
          </w:p>
        </w:tc>
        <w:tc>
          <w:tcPr>
            <w:tcW w:w="726" w:type="pct"/>
            <w:noWrap/>
            <w:hideMark/>
          </w:tcPr>
          <w:p w14:paraId="4F817B74"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c>
          <w:tcPr>
            <w:tcW w:w="724" w:type="pct"/>
            <w:gridSpan w:val="2"/>
            <w:noWrap/>
            <w:hideMark/>
          </w:tcPr>
          <w:p w14:paraId="3569E4E9"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2.616,87</w:t>
            </w:r>
          </w:p>
        </w:tc>
      </w:tr>
      <w:tr w:rsidR="00D87550" w:rsidRPr="0094667C" w14:paraId="2239A7F5"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4C76D9CE"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BANCO DO BRASIL - AG.: 3846-6 - C/C 9828-0 - MAPA CONTA D</w:t>
            </w:r>
          </w:p>
        </w:tc>
        <w:tc>
          <w:tcPr>
            <w:tcW w:w="726" w:type="pct"/>
            <w:noWrap/>
            <w:hideMark/>
          </w:tcPr>
          <w:p w14:paraId="068E8A15"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c>
          <w:tcPr>
            <w:tcW w:w="724" w:type="pct"/>
            <w:gridSpan w:val="2"/>
            <w:noWrap/>
            <w:hideMark/>
          </w:tcPr>
          <w:p w14:paraId="2553FDBB"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r>
      <w:tr w:rsidR="00D87550" w:rsidRPr="0094667C" w14:paraId="05D866BB"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18ED1E40"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BANCO DO BRASIL - AG.: 3846-6 - C/C 9830-2 - MAPA RECEITAS</w:t>
            </w:r>
          </w:p>
        </w:tc>
        <w:tc>
          <w:tcPr>
            <w:tcW w:w="726" w:type="pct"/>
            <w:noWrap/>
            <w:hideMark/>
          </w:tcPr>
          <w:p w14:paraId="5BAE3239"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c>
          <w:tcPr>
            <w:tcW w:w="724" w:type="pct"/>
            <w:gridSpan w:val="2"/>
            <w:noWrap/>
            <w:hideMark/>
          </w:tcPr>
          <w:p w14:paraId="44C99EA8"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r>
      <w:tr w:rsidR="00D87550" w:rsidRPr="0094667C" w14:paraId="4DADEDA6"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59E9C349"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BANCO DO BRASIL - AG.: 3846-6 - C/C 10165-6 - MAPA X SEGOV</w:t>
            </w:r>
          </w:p>
        </w:tc>
        <w:tc>
          <w:tcPr>
            <w:tcW w:w="726" w:type="pct"/>
            <w:noWrap/>
            <w:hideMark/>
          </w:tcPr>
          <w:p w14:paraId="77F5BFED"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c>
          <w:tcPr>
            <w:tcW w:w="724" w:type="pct"/>
            <w:gridSpan w:val="2"/>
            <w:noWrap/>
            <w:hideMark/>
          </w:tcPr>
          <w:p w14:paraId="29D0E355"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r>
      <w:tr w:rsidR="00D87550" w:rsidRPr="0094667C" w14:paraId="510A77FC"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2482D4DE"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BANCO DO BRASIL AG.: 3846-6, C/C: 10323 MAPA X SEAP</w:t>
            </w:r>
          </w:p>
        </w:tc>
        <w:tc>
          <w:tcPr>
            <w:tcW w:w="726" w:type="pct"/>
            <w:noWrap/>
            <w:hideMark/>
          </w:tcPr>
          <w:p w14:paraId="4A2D2123"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c>
          <w:tcPr>
            <w:tcW w:w="724" w:type="pct"/>
            <w:gridSpan w:val="2"/>
            <w:noWrap/>
            <w:hideMark/>
          </w:tcPr>
          <w:p w14:paraId="405D2969"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r>
      <w:tr w:rsidR="00D87550" w:rsidRPr="0094667C" w14:paraId="75BC73AB"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19A9EC65"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BB RF CP AUTOMÁTICO - AG.: 3846-6 C/C: 8630-4</w:t>
            </w:r>
          </w:p>
        </w:tc>
        <w:tc>
          <w:tcPr>
            <w:tcW w:w="726" w:type="pct"/>
            <w:noWrap/>
            <w:hideMark/>
          </w:tcPr>
          <w:p w14:paraId="26DE9D1C"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1.292.456,93</w:t>
            </w:r>
          </w:p>
        </w:tc>
        <w:tc>
          <w:tcPr>
            <w:tcW w:w="724" w:type="pct"/>
            <w:gridSpan w:val="2"/>
            <w:noWrap/>
            <w:hideMark/>
          </w:tcPr>
          <w:p w14:paraId="453DFA69"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613.978,97</w:t>
            </w:r>
          </w:p>
        </w:tc>
      </w:tr>
      <w:tr w:rsidR="00D87550" w:rsidRPr="0094667C" w14:paraId="110BA8C8"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59AE6C0B"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CAIXA FACIL RENDA FIXA SIMPLES</w:t>
            </w:r>
          </w:p>
        </w:tc>
        <w:tc>
          <w:tcPr>
            <w:tcW w:w="726" w:type="pct"/>
            <w:noWrap/>
            <w:hideMark/>
          </w:tcPr>
          <w:p w14:paraId="1373C4D4"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15.953,29</w:t>
            </w:r>
          </w:p>
        </w:tc>
        <w:tc>
          <w:tcPr>
            <w:tcW w:w="724" w:type="pct"/>
            <w:gridSpan w:val="2"/>
            <w:noWrap/>
            <w:hideMark/>
          </w:tcPr>
          <w:p w14:paraId="5B52C2E5"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17.709,57</w:t>
            </w:r>
          </w:p>
        </w:tc>
      </w:tr>
      <w:tr w:rsidR="00D87550" w:rsidRPr="0094667C" w14:paraId="6AA652AD"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0756AF1E"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BB RF CP AUTOMÁTICO - AG.: 3846-6 C/C: 8644-4</w:t>
            </w:r>
          </w:p>
        </w:tc>
        <w:tc>
          <w:tcPr>
            <w:tcW w:w="726" w:type="pct"/>
            <w:noWrap/>
            <w:hideMark/>
          </w:tcPr>
          <w:p w14:paraId="2388B6B1"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19.997,14</w:t>
            </w:r>
          </w:p>
        </w:tc>
        <w:tc>
          <w:tcPr>
            <w:tcW w:w="724" w:type="pct"/>
            <w:gridSpan w:val="2"/>
            <w:noWrap/>
            <w:hideMark/>
          </w:tcPr>
          <w:p w14:paraId="4ED55EE5"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45.188,78</w:t>
            </w:r>
          </w:p>
        </w:tc>
      </w:tr>
      <w:tr w:rsidR="00D87550" w:rsidRPr="0094667C" w14:paraId="13893080"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09BEAEBD"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BB RF CP AUTOMÁTICO - AG.: 3846-6 C/C: 8841-2</w:t>
            </w:r>
          </w:p>
        </w:tc>
        <w:tc>
          <w:tcPr>
            <w:tcW w:w="726" w:type="pct"/>
            <w:noWrap/>
            <w:hideMark/>
          </w:tcPr>
          <w:p w14:paraId="73422DBF"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107.863,39</w:t>
            </w:r>
          </w:p>
        </w:tc>
        <w:tc>
          <w:tcPr>
            <w:tcW w:w="724" w:type="pct"/>
            <w:gridSpan w:val="2"/>
            <w:noWrap/>
            <w:hideMark/>
          </w:tcPr>
          <w:p w14:paraId="4CE1F538"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101.409,98</w:t>
            </w:r>
          </w:p>
        </w:tc>
      </w:tr>
      <w:tr w:rsidR="00D87550" w:rsidRPr="0094667C" w14:paraId="1E07E8C0"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11165919"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BB RF CP AUTOMÁTICO - AG.: 3846-6 C/C: 9828-0</w:t>
            </w:r>
          </w:p>
        </w:tc>
        <w:tc>
          <w:tcPr>
            <w:tcW w:w="726" w:type="pct"/>
            <w:noWrap/>
            <w:hideMark/>
          </w:tcPr>
          <w:p w14:paraId="2164C935"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25.125,94</w:t>
            </w:r>
          </w:p>
        </w:tc>
        <w:tc>
          <w:tcPr>
            <w:tcW w:w="724" w:type="pct"/>
            <w:gridSpan w:val="2"/>
            <w:noWrap/>
            <w:hideMark/>
          </w:tcPr>
          <w:p w14:paraId="3287C7C7"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1.434.022,12</w:t>
            </w:r>
          </w:p>
        </w:tc>
      </w:tr>
      <w:tr w:rsidR="00D87550" w:rsidRPr="0094667C" w14:paraId="05E2389D"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3078BDDB"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BB RF CP AUTOMÁTICO - AG.: 3846-6 C/C: 9829-9</w:t>
            </w:r>
          </w:p>
        </w:tc>
        <w:tc>
          <w:tcPr>
            <w:tcW w:w="726" w:type="pct"/>
            <w:noWrap/>
            <w:hideMark/>
          </w:tcPr>
          <w:p w14:paraId="23184590"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585.273,43</w:t>
            </w:r>
          </w:p>
        </w:tc>
        <w:tc>
          <w:tcPr>
            <w:tcW w:w="724" w:type="pct"/>
            <w:gridSpan w:val="2"/>
            <w:noWrap/>
            <w:hideMark/>
          </w:tcPr>
          <w:p w14:paraId="75317855"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136.215,50</w:t>
            </w:r>
          </w:p>
        </w:tc>
      </w:tr>
      <w:tr w:rsidR="00D87550" w:rsidRPr="0094667C" w14:paraId="5003D7D3"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52A28985"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BB RF CP AUTOMÁTICO - AG.: 3846-6 C/C: 9830-2</w:t>
            </w:r>
          </w:p>
        </w:tc>
        <w:tc>
          <w:tcPr>
            <w:tcW w:w="726" w:type="pct"/>
            <w:noWrap/>
            <w:hideMark/>
          </w:tcPr>
          <w:p w14:paraId="40828CC8"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47.867,92</w:t>
            </w:r>
          </w:p>
        </w:tc>
        <w:tc>
          <w:tcPr>
            <w:tcW w:w="724" w:type="pct"/>
            <w:gridSpan w:val="2"/>
            <w:noWrap/>
            <w:hideMark/>
          </w:tcPr>
          <w:p w14:paraId="6B5FA9D9"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26.536,20</w:t>
            </w:r>
          </w:p>
        </w:tc>
      </w:tr>
      <w:tr w:rsidR="00D87550" w:rsidRPr="0094667C" w14:paraId="59A39061"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3E7BAC5E"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BB RF CP DIFERENCIADA - AG.: 3846-6 C/C.: 9829-9 MAPA CONTA C</w:t>
            </w:r>
          </w:p>
        </w:tc>
        <w:tc>
          <w:tcPr>
            <w:tcW w:w="726" w:type="pct"/>
            <w:noWrap/>
            <w:hideMark/>
          </w:tcPr>
          <w:p w14:paraId="29906F83" w14:textId="77777777" w:rsidR="00D87550" w:rsidRPr="0094667C" w:rsidRDefault="00D87550" w:rsidP="006B7A43">
            <w:pPr>
              <w:ind w:right="-111"/>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2.150.144,96</w:t>
            </w:r>
          </w:p>
        </w:tc>
        <w:tc>
          <w:tcPr>
            <w:tcW w:w="724" w:type="pct"/>
            <w:gridSpan w:val="2"/>
            <w:noWrap/>
            <w:hideMark/>
          </w:tcPr>
          <w:p w14:paraId="2512B481"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r>
      <w:tr w:rsidR="00D87550" w:rsidRPr="0094667C" w14:paraId="61F12AF4"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72E6B912"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BB RF CP DIFERENCIADA - AG.: 3846-6 C/C.: 9830-2 MARANHÃO PARCERIAS</w:t>
            </w:r>
          </w:p>
        </w:tc>
        <w:tc>
          <w:tcPr>
            <w:tcW w:w="793" w:type="pct"/>
            <w:gridSpan w:val="2"/>
            <w:noWrap/>
            <w:hideMark/>
          </w:tcPr>
          <w:p w14:paraId="1856CD98"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1.498.364,17</w:t>
            </w:r>
          </w:p>
        </w:tc>
        <w:tc>
          <w:tcPr>
            <w:tcW w:w="657" w:type="pct"/>
            <w:noWrap/>
            <w:hideMark/>
          </w:tcPr>
          <w:p w14:paraId="551A02FB"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1.660.317,95</w:t>
            </w:r>
          </w:p>
        </w:tc>
      </w:tr>
      <w:tr w:rsidR="00D87550" w:rsidRPr="0094667C" w14:paraId="3BD299B5"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7C09AF53" w14:textId="77777777" w:rsidR="00D87550" w:rsidRPr="0094667C" w:rsidRDefault="00D87550" w:rsidP="006B7A43">
            <w:pPr>
              <w:ind w:left="-284"/>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BB RF CP AUTOMATICA - AG.: 3846-6 C/C.: 11075-2 MAPA CARTÃO CORPORATIVO</w:t>
            </w:r>
          </w:p>
        </w:tc>
        <w:tc>
          <w:tcPr>
            <w:tcW w:w="726" w:type="pct"/>
            <w:noWrap/>
            <w:hideMark/>
          </w:tcPr>
          <w:p w14:paraId="1A97F772"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c>
          <w:tcPr>
            <w:tcW w:w="724" w:type="pct"/>
            <w:gridSpan w:val="2"/>
            <w:noWrap/>
            <w:hideMark/>
          </w:tcPr>
          <w:p w14:paraId="52FC804B"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0,03</w:t>
            </w:r>
          </w:p>
        </w:tc>
      </w:tr>
      <w:tr w:rsidR="00D87550" w:rsidRPr="0094667C" w14:paraId="17C8F394"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195F9424"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ESP JGP INST EQ 30 - AG.: 3846-6 - C/C.: 9828-0</w:t>
            </w:r>
          </w:p>
        </w:tc>
        <w:tc>
          <w:tcPr>
            <w:tcW w:w="726" w:type="pct"/>
            <w:noWrap/>
            <w:hideMark/>
          </w:tcPr>
          <w:p w14:paraId="02C2E553"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4.071.253,92</w:t>
            </w:r>
          </w:p>
        </w:tc>
        <w:tc>
          <w:tcPr>
            <w:tcW w:w="724" w:type="pct"/>
            <w:gridSpan w:val="2"/>
            <w:noWrap/>
            <w:hideMark/>
          </w:tcPr>
          <w:p w14:paraId="09E45621"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r>
      <w:tr w:rsidR="00D87550" w:rsidRPr="0094667C" w14:paraId="743335C1"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13353918"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S. PUBLICO AUTOMATICO - AG.: 3846-6 C/C: 11075-2</w:t>
            </w:r>
          </w:p>
        </w:tc>
        <w:tc>
          <w:tcPr>
            <w:tcW w:w="726" w:type="pct"/>
            <w:noWrap/>
            <w:hideMark/>
          </w:tcPr>
          <w:p w14:paraId="7BDC0B1F"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0,29</w:t>
            </w:r>
          </w:p>
        </w:tc>
        <w:tc>
          <w:tcPr>
            <w:tcW w:w="724" w:type="pct"/>
            <w:gridSpan w:val="2"/>
            <w:noWrap/>
            <w:hideMark/>
          </w:tcPr>
          <w:p w14:paraId="43A38BB3"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0,29</w:t>
            </w:r>
          </w:p>
        </w:tc>
      </w:tr>
      <w:tr w:rsidR="00D87550" w:rsidRPr="0094667C" w14:paraId="1700314D"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6BA2243F"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BB RF SIMP SOLIDEZ - AG: 3846-6 C/C: 9071-9</w:t>
            </w:r>
          </w:p>
        </w:tc>
        <w:tc>
          <w:tcPr>
            <w:tcW w:w="726" w:type="pct"/>
            <w:noWrap/>
            <w:hideMark/>
          </w:tcPr>
          <w:p w14:paraId="46557DE5"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7.811.577,91</w:t>
            </w:r>
          </w:p>
        </w:tc>
        <w:tc>
          <w:tcPr>
            <w:tcW w:w="724" w:type="pct"/>
            <w:gridSpan w:val="2"/>
            <w:noWrap/>
            <w:hideMark/>
          </w:tcPr>
          <w:p w14:paraId="58CBA184"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13.098.828,13</w:t>
            </w:r>
          </w:p>
        </w:tc>
      </w:tr>
      <w:tr w:rsidR="00D87550" w:rsidRPr="0094667C" w14:paraId="1FE0EB93"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7D702379"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ESP JGP INST EQ 30 - AG.: 3846-6 - C/C.: 9830-2</w:t>
            </w:r>
          </w:p>
        </w:tc>
        <w:tc>
          <w:tcPr>
            <w:tcW w:w="726" w:type="pct"/>
            <w:noWrap/>
            <w:hideMark/>
          </w:tcPr>
          <w:p w14:paraId="520DC441"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650.303,27</w:t>
            </w:r>
          </w:p>
        </w:tc>
        <w:tc>
          <w:tcPr>
            <w:tcW w:w="724" w:type="pct"/>
            <w:gridSpan w:val="2"/>
            <w:noWrap/>
            <w:hideMark/>
          </w:tcPr>
          <w:p w14:paraId="752ECFA5"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r>
      <w:tr w:rsidR="00D87550" w:rsidRPr="0094667C" w14:paraId="50E6C290"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12BA18FB"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BB RF CP AUTOMÁTICO - AG.: 3846-6 C/C: 10165-6 MAPA X SEGOV</w:t>
            </w:r>
          </w:p>
        </w:tc>
        <w:tc>
          <w:tcPr>
            <w:tcW w:w="726" w:type="pct"/>
            <w:noWrap/>
            <w:hideMark/>
          </w:tcPr>
          <w:p w14:paraId="085D1FF7"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c>
          <w:tcPr>
            <w:tcW w:w="724" w:type="pct"/>
            <w:gridSpan w:val="2"/>
            <w:noWrap/>
            <w:hideMark/>
          </w:tcPr>
          <w:p w14:paraId="77A004D8"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3.470.435,26</w:t>
            </w:r>
          </w:p>
        </w:tc>
      </w:tr>
      <w:tr w:rsidR="00D87550" w:rsidRPr="0094667C" w14:paraId="45F4A0C9"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3FC2DDF6" w14:textId="77777777" w:rsidR="00D87550" w:rsidRPr="0094667C" w:rsidRDefault="00D87550" w:rsidP="006B7A43">
            <w:pPr>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BB RF CP AUTOMÁTICO - AG.: 3846-6, C/C: 10323-3 MAPA X SEAP</w:t>
            </w:r>
          </w:p>
        </w:tc>
        <w:tc>
          <w:tcPr>
            <w:tcW w:w="726" w:type="pct"/>
            <w:noWrap/>
            <w:hideMark/>
          </w:tcPr>
          <w:p w14:paraId="31CA036E"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0,00</w:t>
            </w:r>
          </w:p>
        </w:tc>
        <w:tc>
          <w:tcPr>
            <w:tcW w:w="724" w:type="pct"/>
            <w:gridSpan w:val="2"/>
            <w:noWrap/>
            <w:hideMark/>
          </w:tcPr>
          <w:p w14:paraId="2DF25D5E" w14:textId="77777777" w:rsidR="00D87550" w:rsidRPr="0094667C"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8"/>
                <w:szCs w:val="18"/>
                <w:lang w:eastAsia="pt-BR"/>
              </w:rPr>
            </w:pPr>
            <w:r w:rsidRPr="0094667C">
              <w:rPr>
                <w:rFonts w:ascii="Century Schoolbook" w:hAnsi="Century Schoolbook"/>
                <w:color w:val="000000"/>
                <w:kern w:val="0"/>
                <w:sz w:val="18"/>
                <w:szCs w:val="18"/>
                <w:lang w:eastAsia="pt-BR"/>
              </w:rPr>
              <w:t>459.082,98</w:t>
            </w:r>
          </w:p>
        </w:tc>
      </w:tr>
      <w:tr w:rsidR="00D87550" w:rsidRPr="0094667C" w14:paraId="2CBD6411"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3550" w:type="pct"/>
            <w:noWrap/>
            <w:hideMark/>
          </w:tcPr>
          <w:p w14:paraId="54C91D5A" w14:textId="77777777" w:rsidR="00D87550" w:rsidRPr="0094667C" w:rsidRDefault="00D87550" w:rsidP="006B7A43">
            <w:pPr>
              <w:rPr>
                <w:rFonts w:ascii="Century Schoolbook" w:hAnsi="Century Schoolbook"/>
                <w:color w:val="000000"/>
                <w:kern w:val="0"/>
                <w:sz w:val="18"/>
                <w:szCs w:val="18"/>
                <w:lang w:eastAsia="pt-BR"/>
              </w:rPr>
            </w:pPr>
          </w:p>
        </w:tc>
        <w:tc>
          <w:tcPr>
            <w:tcW w:w="726" w:type="pct"/>
            <w:noWrap/>
            <w:hideMark/>
          </w:tcPr>
          <w:p w14:paraId="4277F9D6"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b/>
                <w:bCs/>
                <w:color w:val="000000"/>
                <w:kern w:val="0"/>
                <w:sz w:val="18"/>
                <w:szCs w:val="18"/>
                <w:lang w:eastAsia="pt-BR"/>
              </w:rPr>
            </w:pPr>
            <w:r w:rsidRPr="0094667C">
              <w:rPr>
                <w:rFonts w:ascii="Century Schoolbook" w:hAnsi="Century Schoolbook"/>
                <w:b/>
                <w:bCs/>
                <w:color w:val="000000"/>
                <w:kern w:val="0"/>
                <w:sz w:val="18"/>
                <w:szCs w:val="18"/>
                <w:lang w:eastAsia="pt-BR"/>
              </w:rPr>
              <w:t>18.276.183,13</w:t>
            </w:r>
          </w:p>
        </w:tc>
        <w:tc>
          <w:tcPr>
            <w:tcW w:w="724" w:type="pct"/>
            <w:gridSpan w:val="2"/>
            <w:noWrap/>
            <w:hideMark/>
          </w:tcPr>
          <w:p w14:paraId="0FB84F0D" w14:textId="77777777" w:rsidR="00D87550" w:rsidRPr="0094667C"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b/>
                <w:bCs/>
                <w:color w:val="000000"/>
                <w:kern w:val="0"/>
                <w:sz w:val="18"/>
                <w:szCs w:val="18"/>
                <w:lang w:eastAsia="pt-BR"/>
              </w:rPr>
            </w:pPr>
            <w:r w:rsidRPr="0094667C">
              <w:rPr>
                <w:rFonts w:ascii="Century Schoolbook" w:hAnsi="Century Schoolbook"/>
                <w:b/>
                <w:bCs/>
                <w:color w:val="000000"/>
                <w:kern w:val="0"/>
                <w:sz w:val="18"/>
                <w:szCs w:val="18"/>
                <w:lang w:eastAsia="pt-BR"/>
              </w:rPr>
              <w:t>21.066.343,20</w:t>
            </w:r>
          </w:p>
        </w:tc>
      </w:tr>
    </w:tbl>
    <w:p w14:paraId="78B49872" w14:textId="77777777" w:rsidR="00D87550" w:rsidRDefault="00D87550" w:rsidP="00D87550">
      <w:pPr>
        <w:spacing w:before="120" w:after="120" w:line="360" w:lineRule="auto"/>
        <w:jc w:val="both"/>
        <w:rPr>
          <w:rFonts w:ascii="Century Schoolbook" w:hAnsi="Century Schoolbook"/>
          <w:b/>
          <w:bCs/>
          <w:sz w:val="20"/>
          <w:szCs w:val="20"/>
        </w:rPr>
      </w:pPr>
    </w:p>
    <w:p w14:paraId="43493710"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NOTA 5 – ADIANTAMENTOS</w:t>
      </w:r>
    </w:p>
    <w:p w14:paraId="6AD23F25" w14:textId="77777777" w:rsidR="00D87550" w:rsidRDefault="00D87550" w:rsidP="00D87550">
      <w:pPr>
        <w:spacing w:before="120" w:after="120" w:line="360" w:lineRule="auto"/>
        <w:jc w:val="both"/>
        <w:rPr>
          <w:rFonts w:ascii="Century Schoolbook" w:hAnsi="Century Schoolbook"/>
          <w:sz w:val="20"/>
          <w:szCs w:val="20"/>
        </w:rPr>
      </w:pPr>
    </w:p>
    <w:p w14:paraId="1ECD6295"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Referem-se a valores adiantados aos empregados da companhia na forma de adiantamentos de férias e décimo terceiro salários, adiantamentos para viagens, valores para custeio de pequenos dispêndios do cotidiano da companhia.</w:t>
      </w:r>
    </w:p>
    <w:p w14:paraId="484BB696" w14:textId="77777777" w:rsidR="00D87550" w:rsidRDefault="00D87550" w:rsidP="00D87550">
      <w:pPr>
        <w:rPr>
          <w:rFonts w:ascii="Century Schoolbook" w:hAnsi="Century Schoolbook"/>
          <w:b/>
          <w:bCs/>
          <w:sz w:val="20"/>
          <w:szCs w:val="20"/>
        </w:rPr>
      </w:pPr>
      <w:r>
        <w:rPr>
          <w:rFonts w:ascii="Century Schoolbook" w:hAnsi="Century Schoolbook"/>
          <w:b/>
          <w:bCs/>
          <w:sz w:val="20"/>
          <w:szCs w:val="20"/>
        </w:rPr>
        <w:br w:type="page"/>
      </w:r>
    </w:p>
    <w:p w14:paraId="1BA864C6"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b/>
          <w:bCs/>
          <w:sz w:val="20"/>
          <w:szCs w:val="20"/>
        </w:rPr>
        <w:lastRenderedPageBreak/>
        <w:t>NOTA 6 – MOVIMENTAÇÃO DE SEGUROS SFH</w:t>
      </w:r>
    </w:p>
    <w:p w14:paraId="262EAFF6" w14:textId="77777777" w:rsidR="00D87550" w:rsidRDefault="00D87550" w:rsidP="00D87550">
      <w:pPr>
        <w:spacing w:before="120" w:after="120" w:line="360" w:lineRule="auto"/>
        <w:jc w:val="both"/>
        <w:rPr>
          <w:rFonts w:ascii="Century Schoolbook" w:hAnsi="Century Schoolbook"/>
          <w:sz w:val="20"/>
          <w:szCs w:val="20"/>
        </w:rPr>
      </w:pPr>
    </w:p>
    <w:p w14:paraId="68213466"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A companhia mantém em sua escrituração contábil saldos referentes a prêmios de seguros habitacionais sobre as unidades de sua propriedade.</w:t>
      </w:r>
    </w:p>
    <w:p w14:paraId="5CE42A8F" w14:textId="77777777" w:rsidR="00D87550" w:rsidRDefault="00D87550" w:rsidP="00D87550">
      <w:pPr>
        <w:spacing w:before="120" w:after="120" w:line="360" w:lineRule="auto"/>
        <w:jc w:val="both"/>
        <w:rPr>
          <w:rFonts w:ascii="Century Schoolbook" w:hAnsi="Century Schoolbook"/>
          <w:b/>
          <w:bCs/>
          <w:sz w:val="20"/>
          <w:szCs w:val="20"/>
        </w:rPr>
      </w:pPr>
    </w:p>
    <w:p w14:paraId="3841934E"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NOTA 7 – MOVIMENTAÇÃO DE CONTRIBUIÇÕES AO FCVS</w:t>
      </w:r>
    </w:p>
    <w:p w14:paraId="46BCEBA1" w14:textId="77777777" w:rsidR="00D87550" w:rsidRDefault="00D87550" w:rsidP="00D87550">
      <w:pPr>
        <w:spacing w:before="120" w:after="120" w:line="360" w:lineRule="auto"/>
        <w:jc w:val="both"/>
        <w:rPr>
          <w:rFonts w:ascii="Century Schoolbook" w:hAnsi="Century Schoolbook"/>
          <w:sz w:val="20"/>
          <w:szCs w:val="20"/>
        </w:rPr>
      </w:pPr>
    </w:p>
    <w:p w14:paraId="58A86697"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 xml:space="preserve">Corresponde aos valores a receber do Fundo de Compensação das Variações Salariais (FCVS). Atualmente, a companhia está em busca de meios para negociar essa carteira de créditos. </w:t>
      </w:r>
    </w:p>
    <w:p w14:paraId="4F74864C" w14:textId="77777777" w:rsidR="00D87550" w:rsidRDefault="00D87550" w:rsidP="00D87550">
      <w:pPr>
        <w:spacing w:before="120" w:after="120" w:line="360" w:lineRule="auto"/>
        <w:jc w:val="both"/>
        <w:rPr>
          <w:rFonts w:ascii="Century Schoolbook" w:hAnsi="Century Schoolbook"/>
          <w:b/>
          <w:bCs/>
          <w:sz w:val="20"/>
          <w:szCs w:val="20"/>
        </w:rPr>
      </w:pPr>
    </w:p>
    <w:p w14:paraId="4450EA79"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NOTA 8 – PRESTAÇÕES A RECEBER</w:t>
      </w:r>
    </w:p>
    <w:p w14:paraId="6F400E21" w14:textId="77777777" w:rsidR="00D87550" w:rsidRDefault="00D87550" w:rsidP="00D87550">
      <w:pPr>
        <w:pStyle w:val="PargrafodaLista"/>
        <w:spacing w:before="120" w:after="120" w:line="360" w:lineRule="auto"/>
        <w:ind w:left="0"/>
        <w:contextualSpacing w:val="0"/>
        <w:jc w:val="both"/>
        <w:rPr>
          <w:rFonts w:ascii="Century Schoolbook" w:hAnsi="Century Schoolbook"/>
          <w:sz w:val="20"/>
          <w:szCs w:val="20"/>
        </w:rPr>
      </w:pPr>
    </w:p>
    <w:p w14:paraId="076AF098"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Correspondem ao saldo devedor dos mutuários que adquiriram unidades habitacionais, registrado pelo preço de custo dessas unidades. Esse saldo representa o valor ainda pendente de pagamento pelos mutuários, refletindo o compromisso financeiro assumido por eles no processo de aquisição dos imóveis.</w:t>
      </w:r>
    </w:p>
    <w:p w14:paraId="2C9C9A36"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NOTA 8.1 – Perdas estimadas para créditos de liquidação duvidosa</w:t>
      </w:r>
    </w:p>
    <w:p w14:paraId="0ED4DCCA"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 xml:space="preserve">A Provisão para Perdas Estimadas com Créditos de Liquidação Duvidosa, refere-se à expectativa de negociação de prestações em atraso dos mutuários de empreendimentos não beneficiados pela Lei Federal nº 10.150, de 21 de dezembro de 2000, e pela Lei Estadual nº 7.705, de 10 de dezembro de 2001. Essas leis autorizaram a liquidação antecipada dos contratos habitacionais firmados até 31 de dezembro de 1987, concedendo descontos de 100% do saldo devedor, desde que os mutuários pagassem o valor correspondente a 20% (vinte por cento) do total das prestações em atraso, limitado a R$ 600,00 (seiscentos reais). </w:t>
      </w:r>
    </w:p>
    <w:p w14:paraId="1726FCB0"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Em razão desses benefícios legais, os empreendimentos contemplados pelas referidas leis não foram incluídos na provisão, uma vez que os mutuários tiveram a oportunidade de regularizar suas dívidas em condições facilitadas. Por outro lado, os demais conjuntos habitacionais, que não se enquadram nessas legislações, foram avaliados quanto ao risco de inadimplência, resultando na constituição da provisão para cobrir possíveis perdas com créditos de liquidação duvidosa.</w:t>
      </w:r>
    </w:p>
    <w:p w14:paraId="4DB8B478" w14:textId="77777777" w:rsidR="00D87550" w:rsidRDefault="00D87550" w:rsidP="00D87550">
      <w:pPr>
        <w:pStyle w:val="PargrafodaLista"/>
        <w:spacing w:before="120" w:after="120" w:line="360" w:lineRule="auto"/>
        <w:ind w:left="0"/>
        <w:contextualSpacing w:val="0"/>
        <w:jc w:val="both"/>
        <w:rPr>
          <w:rFonts w:ascii="Century Schoolbook" w:hAnsi="Century Schoolbook"/>
          <w:b/>
          <w:bCs/>
          <w:sz w:val="20"/>
          <w:szCs w:val="20"/>
        </w:rPr>
      </w:pPr>
    </w:p>
    <w:p w14:paraId="41F032D7"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b/>
          <w:bCs/>
          <w:sz w:val="20"/>
          <w:szCs w:val="20"/>
        </w:rPr>
        <w:t xml:space="preserve">NOTA 9 – </w:t>
      </w:r>
      <w:r w:rsidRPr="00E21637">
        <w:rPr>
          <w:rFonts w:ascii="Century Schoolbook" w:hAnsi="Century Schoolbook"/>
          <w:b/>
          <w:bCs/>
          <w:sz w:val="20"/>
          <w:szCs w:val="20"/>
        </w:rPr>
        <w:t>CRÉDITOS COM FGTS E SEGURADORAS</w:t>
      </w:r>
    </w:p>
    <w:p w14:paraId="36DB3461" w14:textId="77777777" w:rsidR="00D87550" w:rsidRDefault="00D87550" w:rsidP="00D87550">
      <w:pPr>
        <w:pStyle w:val="PargrafodaLista"/>
        <w:spacing w:before="120" w:after="120" w:line="360" w:lineRule="auto"/>
        <w:ind w:left="0"/>
        <w:contextualSpacing w:val="0"/>
        <w:jc w:val="both"/>
        <w:rPr>
          <w:rFonts w:ascii="Century Schoolbook" w:hAnsi="Century Schoolbook"/>
          <w:sz w:val="20"/>
          <w:szCs w:val="20"/>
        </w:rPr>
      </w:pPr>
    </w:p>
    <w:p w14:paraId="127531A7" w14:textId="77777777" w:rsidR="00D87550"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 xml:space="preserve">Referem-se a recursos a receber do Fundo de Garantia por Tempo de Serviço (FGTS), administrado pela Caixa Econômica Federal (CEF), decorrentes de contratos firmados com cobertura desse fundo. Assim como ocorre com a carteira do Fundo de Compensação de Variações Salariais - FCVS, os saldos residuais dessa carteira imobiliária </w:t>
      </w:r>
      <w:r w:rsidRPr="007D72B9">
        <w:rPr>
          <w:rFonts w:ascii="Century Schoolbook" w:hAnsi="Century Schoolbook"/>
          <w:sz w:val="20"/>
          <w:szCs w:val="20"/>
        </w:rPr>
        <w:lastRenderedPageBreak/>
        <w:t>serão objeto de negociação pela empresa. No momento, não há expectativa</w:t>
      </w:r>
      <w:r>
        <w:rPr>
          <w:rFonts w:ascii="Century Schoolbook" w:hAnsi="Century Schoolbook"/>
          <w:sz w:val="20"/>
          <w:szCs w:val="20"/>
        </w:rPr>
        <w:t xml:space="preserve"> quanto ao prazo máximo </w:t>
      </w:r>
      <w:r w:rsidRPr="007D72B9">
        <w:rPr>
          <w:rFonts w:ascii="Century Schoolbook" w:hAnsi="Century Schoolbook"/>
          <w:sz w:val="20"/>
          <w:szCs w:val="20"/>
        </w:rPr>
        <w:t>de conversão desses valores em recursos para a companhia, uma vez que dependem de acordos ou liquidações futuras.</w:t>
      </w:r>
    </w:p>
    <w:p w14:paraId="34FE80ED"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Pr>
          <w:rFonts w:ascii="Century Schoolbook" w:hAnsi="Century Schoolbook"/>
          <w:sz w:val="20"/>
          <w:szCs w:val="20"/>
        </w:rPr>
        <w:t>Em relação aos valores a receber de seguradoras, co</w:t>
      </w:r>
      <w:r w:rsidRPr="007D72B9">
        <w:rPr>
          <w:rFonts w:ascii="Century Schoolbook" w:hAnsi="Century Schoolbook"/>
          <w:sz w:val="20"/>
          <w:szCs w:val="20"/>
        </w:rPr>
        <w:t>rrespondem a créditos decorrentes de indenizações por morte e invalidez permanente, os quais foram reclassificados como realizáveis de longo prazo. Essa classificação foi realizada com base na estimativa de que a conversão desses valores em recursos financeiros para o caixa da companhia deverá ocorrer em um horizonte temporal superior aos dois próximos exercícios.</w:t>
      </w:r>
    </w:p>
    <w:p w14:paraId="22A4D2D9" w14:textId="77777777" w:rsidR="00D87550" w:rsidRDefault="00D87550" w:rsidP="00D87550">
      <w:pPr>
        <w:spacing w:before="120" w:after="120" w:line="360" w:lineRule="auto"/>
        <w:jc w:val="both"/>
        <w:rPr>
          <w:rFonts w:ascii="Century Schoolbook" w:hAnsi="Century Schoolbook"/>
          <w:b/>
          <w:bCs/>
          <w:sz w:val="20"/>
          <w:szCs w:val="20"/>
        </w:rPr>
      </w:pPr>
    </w:p>
    <w:p w14:paraId="2839A500"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NOTA 10 – FCVS A RECEBER</w:t>
      </w:r>
    </w:p>
    <w:p w14:paraId="467BC67E" w14:textId="77777777" w:rsidR="00D87550" w:rsidRDefault="00D87550" w:rsidP="00D87550">
      <w:pPr>
        <w:spacing w:before="120" w:after="120" w:line="360" w:lineRule="auto"/>
        <w:jc w:val="both"/>
        <w:rPr>
          <w:rFonts w:ascii="Century Schoolbook" w:hAnsi="Century Schoolbook"/>
          <w:sz w:val="20"/>
          <w:szCs w:val="20"/>
        </w:rPr>
      </w:pPr>
    </w:p>
    <w:p w14:paraId="157AB348"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Refere-se aos créditos em favor da companhia relacionados ao Fundo de Compensação das Variações Salariais (FCVS), gerados a partir da liquidação de unidades habitacionais por meio de novação, decurso de prazo ou variações salariais, conforme estabelecido pela Lei Federal nº 10.150, de 21 de dezembro de 2000, e pela Lei Estadual nº 7.705, de 10 de dezembro de 2001. Esses créditos representam valores a serem recebidos pela empresa em decorrência das operações realizadas no setor habitacional.</w:t>
      </w:r>
    </w:p>
    <w:p w14:paraId="1F3C8D07"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Atualmente, a companhia está em busca de meios para negociar sua carteira de créditos do FCVS com instituições financeiras do setor imobiliário</w:t>
      </w:r>
      <w:r>
        <w:rPr>
          <w:rFonts w:ascii="Century Schoolbook" w:hAnsi="Century Schoolbook"/>
          <w:sz w:val="20"/>
          <w:szCs w:val="20"/>
        </w:rPr>
        <w:t>.</w:t>
      </w:r>
    </w:p>
    <w:p w14:paraId="70FAFE09" w14:textId="77777777" w:rsidR="00D87550" w:rsidRDefault="00D87550" w:rsidP="00D87550">
      <w:pPr>
        <w:spacing w:before="120" w:after="120" w:line="360" w:lineRule="auto"/>
        <w:jc w:val="both"/>
        <w:rPr>
          <w:rFonts w:ascii="Century Schoolbook" w:hAnsi="Century Schoolbook"/>
          <w:b/>
          <w:bCs/>
          <w:sz w:val="20"/>
          <w:szCs w:val="20"/>
        </w:rPr>
      </w:pPr>
    </w:p>
    <w:p w14:paraId="67F09DD2"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NOTA 12 – IMPOSTOS A RECUPERAR</w:t>
      </w:r>
    </w:p>
    <w:p w14:paraId="14E3798D" w14:textId="77777777" w:rsidR="00D87550" w:rsidRDefault="00D87550" w:rsidP="00D87550">
      <w:pPr>
        <w:pStyle w:val="PargrafodaLista"/>
        <w:spacing w:before="120" w:after="120" w:line="360" w:lineRule="auto"/>
        <w:ind w:left="0"/>
        <w:contextualSpacing w:val="0"/>
        <w:jc w:val="both"/>
        <w:rPr>
          <w:rFonts w:ascii="Century Schoolbook" w:hAnsi="Century Schoolbook"/>
          <w:sz w:val="20"/>
          <w:szCs w:val="20"/>
        </w:rPr>
      </w:pPr>
    </w:p>
    <w:p w14:paraId="75BADE27"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Estão registrados como impostos a recuperar os créditos da companhia junto ao Fisco Federal, decorrentes de pagamentos comprovadamente a maior do INSS no período compreendido entre abril de 2019 e outubro de 2022. Diante disso, optou-se pelo reconhecimento desses créditos em uma conta específica no ativo da empresa, enquanto são realizados os procedimentos para a retificação das declarações e o consequente aproveitamento dos valores referentes ao período mencionado.</w:t>
      </w:r>
    </w:p>
    <w:p w14:paraId="1CE96665"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Parte dos créditos apurados foi utilizada para compensação do INSS devido pela empresa, enquanto os demais foram objeto de pedidos de restituição formalizados junto à Receita Federal por meio de PER/DCOMP</w:t>
      </w:r>
      <w:r>
        <w:rPr>
          <w:rFonts w:ascii="Century Schoolbook" w:hAnsi="Century Schoolbook"/>
          <w:sz w:val="20"/>
          <w:szCs w:val="20"/>
        </w:rPr>
        <w:t xml:space="preserve">, tendo, até o presente momento, sido restituído o valor líquido de R$ </w:t>
      </w:r>
      <w:r w:rsidRPr="00982B42">
        <w:rPr>
          <w:rFonts w:ascii="Century Schoolbook" w:hAnsi="Century Schoolbook"/>
          <w:sz w:val="20"/>
          <w:szCs w:val="20"/>
        </w:rPr>
        <w:t>658</w:t>
      </w:r>
      <w:r>
        <w:rPr>
          <w:rFonts w:ascii="Century Schoolbook" w:hAnsi="Century Schoolbook"/>
          <w:sz w:val="20"/>
          <w:szCs w:val="20"/>
        </w:rPr>
        <w:t>.</w:t>
      </w:r>
      <w:r w:rsidRPr="00982B42">
        <w:rPr>
          <w:rFonts w:ascii="Century Schoolbook" w:hAnsi="Century Schoolbook"/>
          <w:sz w:val="20"/>
          <w:szCs w:val="20"/>
        </w:rPr>
        <w:t>004,12</w:t>
      </w:r>
      <w:r>
        <w:rPr>
          <w:rFonts w:ascii="Century Schoolbook" w:hAnsi="Century Schoolbook"/>
          <w:sz w:val="20"/>
          <w:szCs w:val="20"/>
        </w:rPr>
        <w:t xml:space="preserve"> (seiscentos e cinquenta e oito mil, quatro reais e doze centavos), devidamente atualizados de acordo com a variação da taxa SELIC do período</w:t>
      </w:r>
      <w:r w:rsidRPr="007D72B9">
        <w:rPr>
          <w:rFonts w:ascii="Century Schoolbook" w:hAnsi="Century Schoolbook"/>
          <w:sz w:val="20"/>
          <w:szCs w:val="20"/>
        </w:rPr>
        <w:t xml:space="preserve">. </w:t>
      </w:r>
      <w:r>
        <w:rPr>
          <w:rFonts w:ascii="Century Schoolbook" w:hAnsi="Century Schoolbook"/>
          <w:sz w:val="20"/>
          <w:szCs w:val="20"/>
        </w:rPr>
        <w:t xml:space="preserve">Os demais </w:t>
      </w:r>
      <w:r w:rsidRPr="007D72B9">
        <w:rPr>
          <w:rFonts w:ascii="Century Schoolbook" w:hAnsi="Century Schoolbook"/>
          <w:sz w:val="20"/>
          <w:szCs w:val="20"/>
        </w:rPr>
        <w:t>pedidos encontram-se atualmente em análise pelo órgão competente, aguardando a conclusão do processo de restituição.</w:t>
      </w:r>
    </w:p>
    <w:p w14:paraId="4109FDA5" w14:textId="77777777" w:rsidR="00D87550" w:rsidRDefault="00D87550" w:rsidP="00D87550">
      <w:pPr>
        <w:rPr>
          <w:rFonts w:ascii="Century Schoolbook" w:hAnsi="Century Schoolbook"/>
          <w:b/>
          <w:bCs/>
          <w:sz w:val="20"/>
          <w:szCs w:val="20"/>
        </w:rPr>
      </w:pPr>
      <w:r>
        <w:rPr>
          <w:rFonts w:ascii="Century Schoolbook" w:hAnsi="Century Schoolbook"/>
          <w:b/>
          <w:bCs/>
          <w:sz w:val="20"/>
          <w:szCs w:val="20"/>
        </w:rPr>
        <w:br w:type="page"/>
      </w:r>
    </w:p>
    <w:p w14:paraId="37546B53"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lastRenderedPageBreak/>
        <w:t>NOTA 13 – ESTOQUES</w:t>
      </w:r>
    </w:p>
    <w:p w14:paraId="3CA61476" w14:textId="77777777" w:rsidR="00D87550" w:rsidRDefault="00D87550" w:rsidP="00D87550">
      <w:pPr>
        <w:spacing w:before="120" w:after="120" w:line="360" w:lineRule="auto"/>
        <w:jc w:val="both"/>
        <w:rPr>
          <w:rFonts w:ascii="Century Schoolbook" w:hAnsi="Century Schoolbook"/>
          <w:sz w:val="20"/>
          <w:szCs w:val="20"/>
        </w:rPr>
      </w:pPr>
    </w:p>
    <w:p w14:paraId="4A6BCD61"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Os estoques da companhia, apurados com base no custo médio ponderado, são compostos por materiais de uso e consumo e materiais de expediente, que permanecem registrados até a efetiva utilização. No momento do uso, seus valores são transferidos para contas de custos ou despesas homônimas no resultado da companhia. Além desses itens, também são contabilizados como estoques os bens adquiridos para o imobilizado da empresa, os quais permanecem nessa classificação até o início de sua utilização. A partir desse momento, são incorporados ao imobilizado e passam a ter sua depreciação acumulada calculada pelo método linear, refletindo a redução sistemática de seu valor ao longo da vida útil estimada.</w:t>
      </w:r>
    </w:p>
    <w:p w14:paraId="24B2EC44"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 xml:space="preserve">A utilização do custo médio ponderado assegura uma distribuição equilibrada dos custos, enquanto a depreciação pelo método linear proporciona uma visão consistente e realista do valor dos ativos ao longo do tempo. </w:t>
      </w:r>
    </w:p>
    <w:p w14:paraId="7F1EA100" w14:textId="77777777" w:rsidR="00D87550" w:rsidRDefault="00D87550" w:rsidP="00D87550">
      <w:pPr>
        <w:spacing w:before="120" w:after="120" w:line="360" w:lineRule="auto"/>
        <w:jc w:val="both"/>
        <w:rPr>
          <w:rFonts w:ascii="Century Schoolbook" w:hAnsi="Century Schoolbook"/>
          <w:b/>
          <w:bCs/>
          <w:sz w:val="20"/>
          <w:szCs w:val="20"/>
        </w:rPr>
      </w:pPr>
    </w:p>
    <w:p w14:paraId="551374F6"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NOTA 14 – CONTAS A RECEBER DE CLIENTES</w:t>
      </w:r>
    </w:p>
    <w:p w14:paraId="667AD3DC" w14:textId="77777777" w:rsidR="00D87550" w:rsidRDefault="00D87550" w:rsidP="00D87550">
      <w:pPr>
        <w:spacing w:before="120" w:after="120" w:line="360" w:lineRule="auto"/>
        <w:jc w:val="both"/>
        <w:rPr>
          <w:rFonts w:ascii="Century Schoolbook" w:hAnsi="Century Schoolbook"/>
          <w:sz w:val="20"/>
          <w:szCs w:val="20"/>
        </w:rPr>
      </w:pPr>
    </w:p>
    <w:p w14:paraId="111E9E9A"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Os valores correspondem a créditos a receber das empresas incorporadas, registrados com base nos balanços de incorporação, pelo seu valor original. Esses créditos refletem as obrigações financeiras assumidas pelas empresas incorporadas, que foram devidamente contabilizadas no momento da integração ao patrimônio da Maranhão Parcerias.</w:t>
      </w:r>
    </w:p>
    <w:p w14:paraId="5EB74133"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Além desses créditos, também estão registrados os valores a receber de clientes para os quais a empresa presta serviços de gerenciamento da ferramenta de mobilidade urbana dos Órgãos Estaduais (por meio da ferramenta TAXIGOV/MA) e de gerenciamento do contrato de vigilância eletrônica monitorada à distância. Esses serviços representam atividades estratégicas da companhia, que contribuem para a eficiência operacional e a segurança dos órgãos públicos</w:t>
      </w:r>
      <w:r>
        <w:rPr>
          <w:rFonts w:ascii="Century Schoolbook" w:hAnsi="Century Schoolbook"/>
          <w:sz w:val="20"/>
          <w:szCs w:val="20"/>
        </w:rPr>
        <w:t xml:space="preserve"> estaduais</w:t>
      </w:r>
      <w:r w:rsidRPr="007D72B9">
        <w:rPr>
          <w:rFonts w:ascii="Century Schoolbook" w:hAnsi="Century Schoolbook"/>
          <w:sz w:val="20"/>
          <w:szCs w:val="20"/>
        </w:rPr>
        <w:t xml:space="preserve"> envolvidos.</w:t>
      </w:r>
    </w:p>
    <w:tbl>
      <w:tblPr>
        <w:tblStyle w:val="TabelaSimples5"/>
        <w:tblW w:w="5000" w:type="pct"/>
        <w:tblLook w:val="04A0" w:firstRow="1" w:lastRow="0" w:firstColumn="1" w:lastColumn="0" w:noHBand="0" w:noVBand="1"/>
      </w:tblPr>
      <w:tblGrid>
        <w:gridCol w:w="8249"/>
        <w:gridCol w:w="1040"/>
        <w:gridCol w:w="1177"/>
      </w:tblGrid>
      <w:tr w:rsidR="00D87550" w:rsidRPr="004050EE" w14:paraId="0084F14A" w14:textId="77777777" w:rsidTr="006B7A43">
        <w:trPr>
          <w:cnfStyle w:val="100000000000" w:firstRow="1" w:lastRow="0" w:firstColumn="0" w:lastColumn="0" w:oddVBand="0" w:evenVBand="0" w:oddHBand="0" w:evenHBand="0" w:firstRowFirstColumn="0" w:firstRowLastColumn="0" w:lastRowFirstColumn="0" w:lastRowLastColumn="0"/>
          <w:trHeight w:val="264"/>
        </w:trPr>
        <w:tc>
          <w:tcPr>
            <w:cnfStyle w:val="001000000100" w:firstRow="0" w:lastRow="0" w:firstColumn="1" w:lastColumn="0" w:oddVBand="0" w:evenVBand="0" w:oddHBand="0" w:evenHBand="0" w:firstRowFirstColumn="1" w:firstRowLastColumn="0" w:lastRowFirstColumn="0" w:lastRowLastColumn="0"/>
            <w:tcW w:w="3962" w:type="pct"/>
            <w:noWrap/>
            <w:hideMark/>
          </w:tcPr>
          <w:p w14:paraId="374D37C4" w14:textId="77777777" w:rsidR="00D87550" w:rsidRPr="004050EE" w:rsidRDefault="00D87550" w:rsidP="006B7A43">
            <w:pPr>
              <w:rPr>
                <w:rFonts w:ascii="Times New Roman" w:hAnsi="Times New Roman"/>
                <w:kern w:val="0"/>
                <w:sz w:val="16"/>
                <w:szCs w:val="16"/>
                <w:lang w:eastAsia="pt-BR"/>
              </w:rPr>
            </w:pPr>
          </w:p>
        </w:tc>
        <w:tc>
          <w:tcPr>
            <w:tcW w:w="487" w:type="pct"/>
            <w:noWrap/>
            <w:hideMark/>
          </w:tcPr>
          <w:p w14:paraId="286125CF" w14:textId="77777777" w:rsidR="00D87550" w:rsidRPr="004050EE" w:rsidRDefault="00D87550" w:rsidP="006B7A43">
            <w:pPr>
              <w:jc w:val="right"/>
              <w:cnfStyle w:val="100000000000" w:firstRow="1" w:lastRow="0" w:firstColumn="0" w:lastColumn="0" w:oddVBand="0" w:evenVBand="0" w:oddHBand="0" w:evenHBand="0" w:firstRowFirstColumn="0" w:firstRowLastColumn="0" w:lastRowFirstColumn="0" w:lastRowLastColumn="0"/>
              <w:rPr>
                <w:rFonts w:ascii="Century Schoolbook" w:hAnsi="Century Schoolbook"/>
                <w:b/>
                <w:bCs/>
                <w:color w:val="000000"/>
                <w:kern w:val="0"/>
                <w:sz w:val="16"/>
                <w:szCs w:val="16"/>
                <w:lang w:eastAsia="pt-BR"/>
              </w:rPr>
            </w:pPr>
            <w:r w:rsidRPr="004050EE">
              <w:rPr>
                <w:rFonts w:ascii="Century Schoolbook" w:hAnsi="Century Schoolbook"/>
                <w:b/>
                <w:bCs/>
                <w:color w:val="000000"/>
                <w:kern w:val="0"/>
                <w:sz w:val="16"/>
                <w:szCs w:val="16"/>
                <w:lang w:eastAsia="pt-BR"/>
              </w:rPr>
              <w:t>2024</w:t>
            </w:r>
          </w:p>
        </w:tc>
        <w:tc>
          <w:tcPr>
            <w:tcW w:w="551" w:type="pct"/>
            <w:noWrap/>
            <w:hideMark/>
          </w:tcPr>
          <w:p w14:paraId="31F4343E" w14:textId="77777777" w:rsidR="00D87550" w:rsidRPr="004050EE" w:rsidRDefault="00D87550" w:rsidP="006B7A43">
            <w:pPr>
              <w:jc w:val="right"/>
              <w:cnfStyle w:val="100000000000" w:firstRow="1" w:lastRow="0" w:firstColumn="0" w:lastColumn="0" w:oddVBand="0" w:evenVBand="0" w:oddHBand="0" w:evenHBand="0" w:firstRowFirstColumn="0" w:firstRowLastColumn="0" w:lastRowFirstColumn="0" w:lastRowLastColumn="0"/>
              <w:rPr>
                <w:rFonts w:ascii="Century Schoolbook" w:hAnsi="Century Schoolbook"/>
                <w:b/>
                <w:bCs/>
                <w:color w:val="000000"/>
                <w:kern w:val="0"/>
                <w:sz w:val="16"/>
                <w:szCs w:val="16"/>
                <w:lang w:eastAsia="pt-BR"/>
              </w:rPr>
            </w:pPr>
            <w:r w:rsidRPr="004050EE">
              <w:rPr>
                <w:rFonts w:ascii="Century Schoolbook" w:hAnsi="Century Schoolbook"/>
                <w:b/>
                <w:bCs/>
                <w:color w:val="000000"/>
                <w:kern w:val="0"/>
                <w:sz w:val="16"/>
                <w:szCs w:val="16"/>
                <w:lang w:eastAsia="pt-BR"/>
              </w:rPr>
              <w:t>2025</w:t>
            </w:r>
          </w:p>
        </w:tc>
      </w:tr>
      <w:tr w:rsidR="00D87550" w:rsidRPr="004050EE" w14:paraId="0DA3AC16"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962" w:type="pct"/>
            <w:noWrap/>
            <w:hideMark/>
          </w:tcPr>
          <w:p w14:paraId="0729514B" w14:textId="77777777" w:rsidR="00D87550" w:rsidRPr="004050EE" w:rsidRDefault="00D87550" w:rsidP="006B7A43">
            <w:pPr>
              <w:rPr>
                <w:rFonts w:ascii="Century Schoolbook" w:hAnsi="Century Schoolbook"/>
                <w:color w:val="000000"/>
                <w:kern w:val="0"/>
                <w:sz w:val="16"/>
                <w:szCs w:val="16"/>
                <w:lang w:eastAsia="pt-BR"/>
              </w:rPr>
            </w:pPr>
            <w:proofErr w:type="spellStart"/>
            <w:r w:rsidRPr="004050EE">
              <w:rPr>
                <w:rFonts w:ascii="Century Schoolbook" w:hAnsi="Century Schoolbook"/>
                <w:color w:val="000000"/>
                <w:kern w:val="0"/>
                <w:sz w:val="16"/>
                <w:szCs w:val="16"/>
                <w:lang w:eastAsia="pt-BR"/>
              </w:rPr>
              <w:t>Adiant.Fornec.Serv</w:t>
            </w:r>
            <w:proofErr w:type="spellEnd"/>
            <w:r w:rsidRPr="004050EE">
              <w:rPr>
                <w:rFonts w:ascii="Century Schoolbook" w:hAnsi="Century Schoolbook"/>
                <w:color w:val="000000"/>
                <w:kern w:val="0"/>
                <w:sz w:val="16"/>
                <w:szCs w:val="16"/>
                <w:lang w:eastAsia="pt-BR"/>
              </w:rPr>
              <w:t>.-US</w:t>
            </w:r>
          </w:p>
        </w:tc>
        <w:tc>
          <w:tcPr>
            <w:tcW w:w="487" w:type="pct"/>
            <w:noWrap/>
            <w:hideMark/>
          </w:tcPr>
          <w:p w14:paraId="57206092" w14:textId="77777777" w:rsidR="00D87550" w:rsidRPr="004050EE"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10.100,00</w:t>
            </w:r>
          </w:p>
        </w:tc>
        <w:tc>
          <w:tcPr>
            <w:tcW w:w="551" w:type="pct"/>
            <w:noWrap/>
            <w:hideMark/>
          </w:tcPr>
          <w:p w14:paraId="10259A78" w14:textId="77777777" w:rsidR="00D87550" w:rsidRPr="004050EE"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10.100,00</w:t>
            </w:r>
          </w:p>
        </w:tc>
      </w:tr>
      <w:tr w:rsidR="00D87550" w:rsidRPr="004050EE" w14:paraId="4254B7A3"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3962" w:type="pct"/>
            <w:noWrap/>
            <w:hideMark/>
          </w:tcPr>
          <w:p w14:paraId="5B0D8E33" w14:textId="77777777" w:rsidR="00D87550" w:rsidRPr="004050EE" w:rsidRDefault="00D87550" w:rsidP="006B7A43">
            <w:pPr>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 xml:space="preserve">Contas </w:t>
            </w:r>
            <w:proofErr w:type="spellStart"/>
            <w:r w:rsidRPr="004050EE">
              <w:rPr>
                <w:rFonts w:ascii="Century Schoolbook" w:hAnsi="Century Schoolbook"/>
                <w:color w:val="000000"/>
                <w:kern w:val="0"/>
                <w:sz w:val="16"/>
                <w:szCs w:val="16"/>
                <w:lang w:eastAsia="pt-BR"/>
              </w:rPr>
              <w:t>Corrent.Deved</w:t>
            </w:r>
            <w:proofErr w:type="spellEnd"/>
            <w:r w:rsidRPr="004050EE">
              <w:rPr>
                <w:rFonts w:ascii="Century Schoolbook" w:hAnsi="Century Schoolbook"/>
                <w:color w:val="000000"/>
                <w:kern w:val="0"/>
                <w:sz w:val="16"/>
                <w:szCs w:val="16"/>
                <w:lang w:eastAsia="pt-BR"/>
              </w:rPr>
              <w:t>.-US</w:t>
            </w:r>
          </w:p>
        </w:tc>
        <w:tc>
          <w:tcPr>
            <w:tcW w:w="487" w:type="pct"/>
            <w:noWrap/>
            <w:hideMark/>
          </w:tcPr>
          <w:p w14:paraId="32151BEF" w14:textId="77777777" w:rsidR="00D87550" w:rsidRPr="004050EE"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837,10</w:t>
            </w:r>
          </w:p>
        </w:tc>
        <w:tc>
          <w:tcPr>
            <w:tcW w:w="551" w:type="pct"/>
            <w:noWrap/>
            <w:hideMark/>
          </w:tcPr>
          <w:p w14:paraId="6EDD7EC1" w14:textId="77777777" w:rsidR="00D87550" w:rsidRPr="004050EE"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837,10</w:t>
            </w:r>
          </w:p>
        </w:tc>
      </w:tr>
      <w:tr w:rsidR="00D87550" w:rsidRPr="004050EE" w14:paraId="430CD56E"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962" w:type="pct"/>
            <w:noWrap/>
            <w:hideMark/>
          </w:tcPr>
          <w:p w14:paraId="4715B611" w14:textId="77777777" w:rsidR="00D87550" w:rsidRPr="004050EE" w:rsidRDefault="00D87550" w:rsidP="006B7A43">
            <w:pPr>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SECRETARIA DE ESTADO DA ADMINISTRAÇÃO</w:t>
            </w:r>
          </w:p>
        </w:tc>
        <w:tc>
          <w:tcPr>
            <w:tcW w:w="487" w:type="pct"/>
            <w:noWrap/>
            <w:hideMark/>
          </w:tcPr>
          <w:p w14:paraId="26F67974" w14:textId="77777777" w:rsidR="00D87550" w:rsidRPr="004050EE"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5.894,89</w:t>
            </w:r>
          </w:p>
        </w:tc>
        <w:tc>
          <w:tcPr>
            <w:tcW w:w="551" w:type="pct"/>
            <w:noWrap/>
            <w:hideMark/>
          </w:tcPr>
          <w:p w14:paraId="589E115C" w14:textId="77777777" w:rsidR="00D87550" w:rsidRPr="004050EE"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63.417,44</w:t>
            </w:r>
          </w:p>
        </w:tc>
      </w:tr>
      <w:tr w:rsidR="00D87550" w:rsidRPr="004050EE" w14:paraId="40CF56DC"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3962" w:type="pct"/>
            <w:noWrap/>
            <w:hideMark/>
          </w:tcPr>
          <w:p w14:paraId="5E64C316" w14:textId="77777777" w:rsidR="00D87550" w:rsidRPr="004050EE" w:rsidRDefault="00D87550" w:rsidP="006B7A43">
            <w:pPr>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COMPANHIA DE SANEAMENTO AMBIENTAL DO MARANHAO-CAEMA</w:t>
            </w:r>
          </w:p>
        </w:tc>
        <w:tc>
          <w:tcPr>
            <w:tcW w:w="487" w:type="pct"/>
            <w:noWrap/>
            <w:hideMark/>
          </w:tcPr>
          <w:p w14:paraId="5A9D12EF" w14:textId="77777777" w:rsidR="00D87550" w:rsidRPr="004050EE"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366.470,77</w:t>
            </w:r>
          </w:p>
        </w:tc>
        <w:tc>
          <w:tcPr>
            <w:tcW w:w="551" w:type="pct"/>
            <w:noWrap/>
            <w:hideMark/>
          </w:tcPr>
          <w:p w14:paraId="56EC42E6" w14:textId="77777777" w:rsidR="00D87550" w:rsidRPr="004050EE"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886.893,44</w:t>
            </w:r>
          </w:p>
        </w:tc>
      </w:tr>
      <w:tr w:rsidR="00D87550" w:rsidRPr="004050EE" w14:paraId="7E2CF659"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962" w:type="pct"/>
            <w:noWrap/>
            <w:hideMark/>
          </w:tcPr>
          <w:p w14:paraId="6D43FF93" w14:textId="77777777" w:rsidR="00D87550" w:rsidRPr="004050EE" w:rsidRDefault="00D87550" w:rsidP="006B7A43">
            <w:pPr>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SECRETARIA DE ESTADO DA CULTURA - SECMA</w:t>
            </w:r>
          </w:p>
        </w:tc>
        <w:tc>
          <w:tcPr>
            <w:tcW w:w="487" w:type="pct"/>
            <w:noWrap/>
            <w:hideMark/>
          </w:tcPr>
          <w:p w14:paraId="64B09972" w14:textId="77777777" w:rsidR="00D87550" w:rsidRPr="004050EE"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87.210,28</w:t>
            </w:r>
          </w:p>
        </w:tc>
        <w:tc>
          <w:tcPr>
            <w:tcW w:w="551" w:type="pct"/>
            <w:noWrap/>
            <w:hideMark/>
          </w:tcPr>
          <w:p w14:paraId="65FB8BBE" w14:textId="77777777" w:rsidR="00D87550" w:rsidRPr="004050EE"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658.550,22</w:t>
            </w:r>
          </w:p>
        </w:tc>
      </w:tr>
      <w:tr w:rsidR="00D87550" w:rsidRPr="004050EE" w14:paraId="17BBADB8"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3962" w:type="pct"/>
            <w:noWrap/>
            <w:hideMark/>
          </w:tcPr>
          <w:p w14:paraId="1DF3BDFA" w14:textId="77777777" w:rsidR="00D87550" w:rsidRPr="004050EE" w:rsidRDefault="00D87550" w:rsidP="006B7A43">
            <w:pPr>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EMPRESA MARANHENSE DE SERVICOS HOSPITALARES - EMSERH</w:t>
            </w:r>
          </w:p>
        </w:tc>
        <w:tc>
          <w:tcPr>
            <w:tcW w:w="487" w:type="pct"/>
            <w:noWrap/>
            <w:hideMark/>
          </w:tcPr>
          <w:p w14:paraId="2ACBED39" w14:textId="77777777" w:rsidR="00D87550" w:rsidRPr="004050EE"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3.142,36</w:t>
            </w:r>
          </w:p>
        </w:tc>
        <w:tc>
          <w:tcPr>
            <w:tcW w:w="551" w:type="pct"/>
            <w:noWrap/>
            <w:hideMark/>
          </w:tcPr>
          <w:p w14:paraId="6C586F88" w14:textId="77777777" w:rsidR="00D87550" w:rsidRPr="004050EE"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119.457,26</w:t>
            </w:r>
          </w:p>
        </w:tc>
      </w:tr>
      <w:tr w:rsidR="00D87550" w:rsidRPr="004050EE" w14:paraId="293C7050"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962" w:type="pct"/>
            <w:noWrap/>
            <w:hideMark/>
          </w:tcPr>
          <w:p w14:paraId="16042252" w14:textId="77777777" w:rsidR="00D87550" w:rsidRPr="004050EE" w:rsidRDefault="00D87550" w:rsidP="006B7A43">
            <w:pPr>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INSTITUTO DE COLONIZACAO E TERRAS DO MARANHAO-ITERMA</w:t>
            </w:r>
          </w:p>
        </w:tc>
        <w:tc>
          <w:tcPr>
            <w:tcW w:w="487" w:type="pct"/>
            <w:noWrap/>
            <w:hideMark/>
          </w:tcPr>
          <w:p w14:paraId="37A5594A" w14:textId="77777777" w:rsidR="00D87550" w:rsidRPr="004050EE"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4.232,18</w:t>
            </w:r>
          </w:p>
        </w:tc>
        <w:tc>
          <w:tcPr>
            <w:tcW w:w="551" w:type="pct"/>
            <w:noWrap/>
            <w:hideMark/>
          </w:tcPr>
          <w:p w14:paraId="5D5F39E2" w14:textId="77777777" w:rsidR="00D87550" w:rsidRPr="004050EE"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4.232,18</w:t>
            </w:r>
          </w:p>
        </w:tc>
      </w:tr>
      <w:tr w:rsidR="00D87550" w:rsidRPr="004050EE" w14:paraId="7364120E"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3962" w:type="pct"/>
            <w:noWrap/>
            <w:hideMark/>
          </w:tcPr>
          <w:p w14:paraId="0EAD8568" w14:textId="77777777" w:rsidR="00D87550" w:rsidRPr="004050EE" w:rsidRDefault="00D87550" w:rsidP="006B7A43">
            <w:pPr>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ESTADO DO MARANHAO - SECRETARIA DE ESTADO DO TRABALHO E DA ECONOMIA SOLIDARIA</w:t>
            </w:r>
          </w:p>
        </w:tc>
        <w:tc>
          <w:tcPr>
            <w:tcW w:w="487" w:type="pct"/>
            <w:noWrap/>
            <w:hideMark/>
          </w:tcPr>
          <w:p w14:paraId="31E3A02D" w14:textId="77777777" w:rsidR="00D87550" w:rsidRPr="004050EE"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41.262,32</w:t>
            </w:r>
          </w:p>
        </w:tc>
        <w:tc>
          <w:tcPr>
            <w:tcW w:w="551" w:type="pct"/>
            <w:noWrap/>
            <w:hideMark/>
          </w:tcPr>
          <w:p w14:paraId="0484BD70" w14:textId="77777777" w:rsidR="00D87550" w:rsidRPr="004050EE"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97.810,86</w:t>
            </w:r>
          </w:p>
        </w:tc>
      </w:tr>
      <w:tr w:rsidR="00D87550" w:rsidRPr="004050EE" w14:paraId="1E5A6EC9"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962" w:type="pct"/>
            <w:noWrap/>
            <w:hideMark/>
          </w:tcPr>
          <w:p w14:paraId="61158EE8" w14:textId="77777777" w:rsidR="00D87550" w:rsidRPr="004050EE" w:rsidRDefault="00D87550" w:rsidP="006B7A43">
            <w:pPr>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AGENCIA ESTADUAL DE MOBILIDADE URBANA E SERVICOS PUBLICOS - MOB</w:t>
            </w:r>
          </w:p>
        </w:tc>
        <w:tc>
          <w:tcPr>
            <w:tcW w:w="487" w:type="pct"/>
            <w:noWrap/>
            <w:hideMark/>
          </w:tcPr>
          <w:p w14:paraId="131842CF" w14:textId="77777777" w:rsidR="00D87550" w:rsidRPr="004050EE"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0,00</w:t>
            </w:r>
          </w:p>
        </w:tc>
        <w:tc>
          <w:tcPr>
            <w:tcW w:w="551" w:type="pct"/>
            <w:noWrap/>
            <w:hideMark/>
          </w:tcPr>
          <w:p w14:paraId="24C7C196" w14:textId="77777777" w:rsidR="00D87550" w:rsidRPr="004050EE"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280.132,89</w:t>
            </w:r>
          </w:p>
        </w:tc>
      </w:tr>
      <w:tr w:rsidR="00D87550" w:rsidRPr="004050EE" w14:paraId="37876D8D"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3962" w:type="pct"/>
            <w:noWrap/>
            <w:hideMark/>
          </w:tcPr>
          <w:p w14:paraId="0E58DFF4" w14:textId="77777777" w:rsidR="00D87550" w:rsidRPr="004050EE" w:rsidRDefault="00D87550" w:rsidP="006B7A43">
            <w:pPr>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AGENCIA EXECUTIVA METROPOLITANA</w:t>
            </w:r>
          </w:p>
        </w:tc>
        <w:tc>
          <w:tcPr>
            <w:tcW w:w="487" w:type="pct"/>
            <w:noWrap/>
            <w:hideMark/>
          </w:tcPr>
          <w:p w14:paraId="02943955" w14:textId="77777777" w:rsidR="00D87550" w:rsidRPr="004050EE"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0,00</w:t>
            </w:r>
          </w:p>
        </w:tc>
        <w:tc>
          <w:tcPr>
            <w:tcW w:w="551" w:type="pct"/>
            <w:noWrap/>
            <w:hideMark/>
          </w:tcPr>
          <w:p w14:paraId="0B68335F" w14:textId="77777777" w:rsidR="00D87550" w:rsidRPr="004050EE"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10.750,16</w:t>
            </w:r>
          </w:p>
        </w:tc>
      </w:tr>
      <w:tr w:rsidR="00D87550" w:rsidRPr="004050EE" w14:paraId="44827A45"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962" w:type="pct"/>
            <w:noWrap/>
            <w:hideMark/>
          </w:tcPr>
          <w:p w14:paraId="618280DE" w14:textId="77777777" w:rsidR="00D87550" w:rsidRPr="004050EE" w:rsidRDefault="00D87550" w:rsidP="006B7A43">
            <w:pPr>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AGENCIA ESTADUAL DE DEFESA AGROPECUARIA DO MARANHAO</w:t>
            </w:r>
          </w:p>
        </w:tc>
        <w:tc>
          <w:tcPr>
            <w:tcW w:w="487" w:type="pct"/>
            <w:noWrap/>
            <w:hideMark/>
          </w:tcPr>
          <w:p w14:paraId="6696C094" w14:textId="77777777" w:rsidR="00D87550" w:rsidRPr="004050EE"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0,00</w:t>
            </w:r>
          </w:p>
        </w:tc>
        <w:tc>
          <w:tcPr>
            <w:tcW w:w="551" w:type="pct"/>
            <w:noWrap/>
            <w:hideMark/>
          </w:tcPr>
          <w:p w14:paraId="4066D83D" w14:textId="77777777" w:rsidR="00D87550" w:rsidRPr="004050EE"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31.989,11</w:t>
            </w:r>
          </w:p>
        </w:tc>
      </w:tr>
      <w:tr w:rsidR="00D87550" w:rsidRPr="004050EE" w14:paraId="462098BB"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3962" w:type="pct"/>
            <w:noWrap/>
            <w:hideMark/>
          </w:tcPr>
          <w:p w14:paraId="5C99884D" w14:textId="77777777" w:rsidR="00D87550" w:rsidRPr="004050EE" w:rsidRDefault="00D87550" w:rsidP="006B7A43">
            <w:pPr>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FUNDACAO DA CRIANCA E DO ADOLESCENTE</w:t>
            </w:r>
          </w:p>
        </w:tc>
        <w:tc>
          <w:tcPr>
            <w:tcW w:w="487" w:type="pct"/>
            <w:noWrap/>
            <w:hideMark/>
          </w:tcPr>
          <w:p w14:paraId="090EC6A5" w14:textId="77777777" w:rsidR="00D87550" w:rsidRPr="004050EE"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0,00</w:t>
            </w:r>
          </w:p>
        </w:tc>
        <w:tc>
          <w:tcPr>
            <w:tcW w:w="551" w:type="pct"/>
            <w:noWrap/>
            <w:hideMark/>
          </w:tcPr>
          <w:p w14:paraId="16E76529" w14:textId="77777777" w:rsidR="00D87550" w:rsidRPr="004050EE"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4050EE">
              <w:rPr>
                <w:rFonts w:ascii="Century Schoolbook" w:hAnsi="Century Schoolbook"/>
                <w:color w:val="000000"/>
                <w:kern w:val="0"/>
                <w:sz w:val="16"/>
                <w:szCs w:val="16"/>
                <w:lang w:eastAsia="pt-BR"/>
              </w:rPr>
              <w:t>210.256,34</w:t>
            </w:r>
          </w:p>
        </w:tc>
      </w:tr>
      <w:tr w:rsidR="00D87550" w:rsidRPr="004050EE" w14:paraId="0A5BE4A5"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962" w:type="pct"/>
            <w:noWrap/>
            <w:hideMark/>
          </w:tcPr>
          <w:p w14:paraId="6B9018AB" w14:textId="77777777" w:rsidR="00D87550" w:rsidRPr="004050EE" w:rsidRDefault="00D87550" w:rsidP="006B7A43">
            <w:pPr>
              <w:rPr>
                <w:rFonts w:ascii="Century Schoolbook" w:hAnsi="Century Schoolbook"/>
                <w:color w:val="000000"/>
                <w:kern w:val="0"/>
                <w:sz w:val="16"/>
                <w:szCs w:val="16"/>
                <w:lang w:eastAsia="pt-BR"/>
              </w:rPr>
            </w:pPr>
          </w:p>
        </w:tc>
        <w:tc>
          <w:tcPr>
            <w:tcW w:w="487" w:type="pct"/>
            <w:noWrap/>
            <w:hideMark/>
          </w:tcPr>
          <w:p w14:paraId="120F570E" w14:textId="77777777" w:rsidR="00D87550" w:rsidRPr="004050EE"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b/>
                <w:bCs/>
                <w:color w:val="000000"/>
                <w:kern w:val="0"/>
                <w:sz w:val="16"/>
                <w:szCs w:val="16"/>
                <w:lang w:eastAsia="pt-BR"/>
              </w:rPr>
            </w:pPr>
            <w:r w:rsidRPr="004050EE">
              <w:rPr>
                <w:rFonts w:ascii="Century Schoolbook" w:hAnsi="Century Schoolbook"/>
                <w:b/>
                <w:bCs/>
                <w:color w:val="000000"/>
                <w:kern w:val="0"/>
                <w:sz w:val="16"/>
                <w:szCs w:val="16"/>
                <w:lang w:eastAsia="pt-BR"/>
              </w:rPr>
              <w:t>519.149,90</w:t>
            </w:r>
          </w:p>
        </w:tc>
        <w:tc>
          <w:tcPr>
            <w:tcW w:w="551" w:type="pct"/>
            <w:noWrap/>
            <w:hideMark/>
          </w:tcPr>
          <w:p w14:paraId="718B5C2B" w14:textId="77777777" w:rsidR="00D87550" w:rsidRPr="004050EE"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b/>
                <w:bCs/>
                <w:color w:val="000000"/>
                <w:kern w:val="0"/>
                <w:sz w:val="16"/>
                <w:szCs w:val="16"/>
                <w:lang w:eastAsia="pt-BR"/>
              </w:rPr>
            </w:pPr>
            <w:r w:rsidRPr="004050EE">
              <w:rPr>
                <w:rFonts w:ascii="Century Schoolbook" w:hAnsi="Century Schoolbook"/>
                <w:b/>
                <w:bCs/>
                <w:color w:val="000000"/>
                <w:kern w:val="0"/>
                <w:sz w:val="16"/>
                <w:szCs w:val="16"/>
                <w:lang w:eastAsia="pt-BR"/>
              </w:rPr>
              <w:t>2.374.427,00</w:t>
            </w:r>
          </w:p>
        </w:tc>
      </w:tr>
    </w:tbl>
    <w:p w14:paraId="025F4DB6" w14:textId="77777777" w:rsidR="00D87550" w:rsidRDefault="00D87550" w:rsidP="00D87550">
      <w:pPr>
        <w:spacing w:before="120" w:after="120" w:line="360" w:lineRule="auto"/>
        <w:jc w:val="both"/>
        <w:rPr>
          <w:rFonts w:ascii="Century Schoolbook" w:hAnsi="Century Schoolbook"/>
          <w:b/>
          <w:bCs/>
          <w:sz w:val="20"/>
          <w:szCs w:val="20"/>
        </w:rPr>
      </w:pPr>
    </w:p>
    <w:p w14:paraId="1D34E256"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b/>
          <w:bCs/>
          <w:sz w:val="20"/>
          <w:szCs w:val="20"/>
        </w:rPr>
        <w:t>NOTA 15 – DEVEDORES POR REPASSES DE CONVÊNIOS</w:t>
      </w:r>
    </w:p>
    <w:p w14:paraId="10DBBEF6" w14:textId="77777777" w:rsidR="00D87550" w:rsidRDefault="00D87550" w:rsidP="00D87550">
      <w:pPr>
        <w:spacing w:before="120" w:after="120" w:line="360" w:lineRule="auto"/>
        <w:jc w:val="both"/>
        <w:rPr>
          <w:rFonts w:ascii="Century Schoolbook" w:hAnsi="Century Schoolbook"/>
          <w:sz w:val="20"/>
          <w:szCs w:val="20"/>
        </w:rPr>
      </w:pPr>
    </w:p>
    <w:p w14:paraId="593992F2"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Correspondem a valores provenientes de convênios firmados entre as empresas incorporadas pela Maranhão Parcerias, os quais, até o momento, não foram integralmente revertidos ao caixa da companhia. Em caso de recebimento, ou a critério da administração ele seja considerado como não passível de recebimento, procederemos a devida baixa do saldo contábil.</w:t>
      </w:r>
    </w:p>
    <w:p w14:paraId="10C734DE" w14:textId="77777777" w:rsidR="00D87550" w:rsidRDefault="00D87550" w:rsidP="00D87550">
      <w:pPr>
        <w:spacing w:before="120" w:after="120" w:line="360" w:lineRule="auto"/>
        <w:jc w:val="both"/>
        <w:rPr>
          <w:rFonts w:ascii="Century Schoolbook" w:hAnsi="Century Schoolbook"/>
          <w:b/>
          <w:bCs/>
          <w:sz w:val="20"/>
          <w:szCs w:val="20"/>
        </w:rPr>
      </w:pPr>
    </w:p>
    <w:p w14:paraId="4543F227"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NOTA 16 – VALORES TRANSITÓRIOS</w:t>
      </w:r>
    </w:p>
    <w:p w14:paraId="5AADA346" w14:textId="77777777" w:rsidR="00D87550" w:rsidRDefault="00D87550" w:rsidP="00D87550">
      <w:pPr>
        <w:pStyle w:val="PargrafodaLista"/>
        <w:spacing w:before="120" w:after="120" w:line="360" w:lineRule="auto"/>
        <w:ind w:left="0"/>
        <w:contextualSpacing w:val="0"/>
        <w:jc w:val="both"/>
        <w:rPr>
          <w:rFonts w:ascii="Century Schoolbook" w:hAnsi="Century Schoolbook"/>
          <w:sz w:val="20"/>
          <w:szCs w:val="20"/>
        </w:rPr>
      </w:pPr>
    </w:p>
    <w:p w14:paraId="525D9DDA"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Referem-se aos valores a serem repassados aos parceiros prestadores de serviços no âmbito do Programa de Mobilidade Urbana dos Órgãos e Entidades do Estado do Maranhão – TAXIGOV/MA. Esses valores representam obrigações assumidas pela companhia em decorrência da execução do programa, sendo registrados de forma contábil como contrapartida à conta “Créditos a Repassar", classificada no passivo da companhia.</w:t>
      </w:r>
    </w:p>
    <w:p w14:paraId="6C7DA3D6" w14:textId="77777777" w:rsidR="00D87550" w:rsidRDefault="00D87550" w:rsidP="00D87550">
      <w:pPr>
        <w:spacing w:before="120" w:after="120" w:line="360" w:lineRule="auto"/>
        <w:jc w:val="both"/>
        <w:rPr>
          <w:rFonts w:ascii="Century Schoolbook" w:hAnsi="Century Schoolbook"/>
          <w:b/>
          <w:bCs/>
          <w:sz w:val="20"/>
          <w:szCs w:val="20"/>
        </w:rPr>
      </w:pPr>
    </w:p>
    <w:p w14:paraId="2B033B4F"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NOTA 17 – DESPESAS ANTECIPADAS</w:t>
      </w:r>
    </w:p>
    <w:p w14:paraId="36071533" w14:textId="77777777" w:rsidR="00D87550" w:rsidRDefault="00D87550" w:rsidP="00D87550">
      <w:pPr>
        <w:spacing w:before="120" w:after="120" w:line="360" w:lineRule="auto"/>
        <w:jc w:val="both"/>
        <w:rPr>
          <w:rFonts w:ascii="Century Schoolbook" w:hAnsi="Century Schoolbook"/>
          <w:sz w:val="20"/>
          <w:szCs w:val="20"/>
        </w:rPr>
      </w:pPr>
    </w:p>
    <w:p w14:paraId="48C514A7" w14:textId="77777777" w:rsidR="00D87550" w:rsidRPr="007D72B9" w:rsidRDefault="00D87550" w:rsidP="00D87550">
      <w:pPr>
        <w:spacing w:before="120" w:after="120" w:line="360" w:lineRule="auto"/>
        <w:jc w:val="both"/>
        <w:rPr>
          <w:rFonts w:ascii="Century Schoolbook" w:hAnsi="Century Schoolbook"/>
          <w:sz w:val="20"/>
          <w:szCs w:val="20"/>
        </w:rPr>
      </w:pPr>
      <w:r>
        <w:rPr>
          <w:rFonts w:ascii="Century Schoolbook" w:hAnsi="Century Schoolbook"/>
          <w:sz w:val="20"/>
          <w:szCs w:val="20"/>
        </w:rPr>
        <w:t>F</w:t>
      </w:r>
      <w:r w:rsidRPr="007D72B9">
        <w:rPr>
          <w:rFonts w:ascii="Century Schoolbook" w:hAnsi="Century Schoolbook"/>
          <w:sz w:val="20"/>
          <w:szCs w:val="20"/>
        </w:rPr>
        <w:t>oram escriturados os valores referentes ao Imposto Territorial/Predial Urbano (IPTU), cobrado pela Prefeitura de São Luís sobre as unidades imobiliárias de propriedade da MAPA, mas que estão em posse dos mutuários. Esse registro contábil assegura que as obrigações fiscais relacionadas aos imóveis sejam devidamente reconhecidas, mesmo quando a posse física é transferida aos mutuários.</w:t>
      </w:r>
    </w:p>
    <w:p w14:paraId="4BB61D50" w14:textId="77777777" w:rsidR="00D87550" w:rsidRDefault="00D87550" w:rsidP="00D87550">
      <w:pPr>
        <w:spacing w:before="120" w:after="120" w:line="360" w:lineRule="auto"/>
        <w:jc w:val="both"/>
        <w:rPr>
          <w:rFonts w:ascii="Century Schoolbook" w:hAnsi="Century Schoolbook"/>
          <w:b/>
          <w:bCs/>
          <w:sz w:val="20"/>
          <w:szCs w:val="20"/>
        </w:rPr>
      </w:pPr>
    </w:p>
    <w:p w14:paraId="248F6D51"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NOTA 18 – TÍTULOS, VALORES MOBILIÁRIOS E DEPÓSITOS</w:t>
      </w:r>
    </w:p>
    <w:p w14:paraId="2D617B71" w14:textId="77777777" w:rsidR="00D87550" w:rsidRDefault="00D87550" w:rsidP="00D87550">
      <w:pPr>
        <w:spacing w:before="120" w:after="120" w:line="360" w:lineRule="auto"/>
        <w:jc w:val="both"/>
        <w:rPr>
          <w:rFonts w:ascii="Century Schoolbook" w:hAnsi="Century Schoolbook"/>
          <w:sz w:val="20"/>
          <w:szCs w:val="20"/>
        </w:rPr>
      </w:pPr>
    </w:p>
    <w:p w14:paraId="0FC96EAD"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 xml:space="preserve">A conta em questão destina-se ao registro de bloqueios judiciais que estão em fase de questionamento ou análise pela Assessoria Jurídica da companhia. Esses bloqueios representam valores que podem estar sujeitos a decisões judiciais pendentes, cuja resolução ainda não foi definitivamente concluída. </w:t>
      </w:r>
    </w:p>
    <w:p w14:paraId="3DA7A768"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Caso a decisão judicial seja desfavorável à empresa, os valores bloqueados são reconhecidos no resultado do período, atuando como um redutor do lucro ou, em situações de prejuízo, como um aumentativo do prejuízo.</w:t>
      </w:r>
    </w:p>
    <w:p w14:paraId="63CE2256" w14:textId="77777777" w:rsidR="00D87550" w:rsidRDefault="00D87550" w:rsidP="00D87550">
      <w:pPr>
        <w:rPr>
          <w:rFonts w:ascii="Century Schoolbook" w:hAnsi="Century Schoolbook"/>
          <w:b/>
          <w:bCs/>
          <w:sz w:val="20"/>
          <w:szCs w:val="20"/>
        </w:rPr>
      </w:pPr>
      <w:r>
        <w:rPr>
          <w:rFonts w:ascii="Century Schoolbook" w:hAnsi="Century Schoolbook"/>
          <w:b/>
          <w:bCs/>
          <w:sz w:val="20"/>
          <w:szCs w:val="20"/>
        </w:rPr>
        <w:br w:type="page"/>
      </w:r>
    </w:p>
    <w:p w14:paraId="76082A1C"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lastRenderedPageBreak/>
        <w:t>NOTA 19 – IMOBILIZADO</w:t>
      </w:r>
    </w:p>
    <w:p w14:paraId="32447174" w14:textId="77777777" w:rsidR="00D87550" w:rsidRDefault="00D87550" w:rsidP="00D87550">
      <w:pPr>
        <w:spacing w:before="120" w:after="120" w:line="360" w:lineRule="auto"/>
        <w:jc w:val="both"/>
        <w:rPr>
          <w:rFonts w:ascii="Century Schoolbook" w:hAnsi="Century Schoolbook"/>
          <w:sz w:val="20"/>
          <w:szCs w:val="20"/>
        </w:rPr>
      </w:pPr>
    </w:p>
    <w:p w14:paraId="06C13D98"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O valor registrado corresponde ao custo de aquisição dos bens, deduzido das depreciações acumuladas. A depreciação é calculada por meio do método linear, que aplica taxas proporcionais ao tempo de vida útil do bem, conforme estimativas técnicas e critérios estabelecidos. Essas taxas são definidas de maneira a respeitar os limites máximos permitidos pela legislação do Imposto de Renda, assegurando a conformidade fiscal e a correta alocação do custo ao longo do período de utilização do ativo.</w:t>
      </w:r>
    </w:p>
    <w:p w14:paraId="3E64AA83" w14:textId="77777777" w:rsidR="00D87550" w:rsidRDefault="00D87550" w:rsidP="00D87550">
      <w:pPr>
        <w:spacing w:before="120" w:after="120" w:line="360" w:lineRule="auto"/>
        <w:jc w:val="both"/>
        <w:rPr>
          <w:rFonts w:ascii="Century Schoolbook" w:hAnsi="Century Schoolbook"/>
          <w:b/>
          <w:bCs/>
          <w:sz w:val="20"/>
          <w:szCs w:val="20"/>
        </w:rPr>
      </w:pPr>
    </w:p>
    <w:p w14:paraId="36EE4991" w14:textId="77777777" w:rsidR="00D87550"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 xml:space="preserve">NOTA 20 – </w:t>
      </w:r>
      <w:r>
        <w:rPr>
          <w:rFonts w:ascii="Century Schoolbook" w:hAnsi="Century Schoolbook"/>
          <w:b/>
          <w:bCs/>
          <w:sz w:val="20"/>
          <w:szCs w:val="20"/>
        </w:rPr>
        <w:t>INVESTIMENTOS</w:t>
      </w:r>
    </w:p>
    <w:p w14:paraId="6E8921AE" w14:textId="77777777" w:rsidR="00D87550" w:rsidRDefault="00D87550" w:rsidP="00D87550">
      <w:pPr>
        <w:spacing w:before="120" w:after="120" w:line="360" w:lineRule="auto"/>
        <w:jc w:val="both"/>
        <w:rPr>
          <w:rFonts w:ascii="Century Schoolbook" w:hAnsi="Century Schoolbook"/>
          <w:sz w:val="20"/>
          <w:szCs w:val="20"/>
        </w:rPr>
      </w:pPr>
    </w:p>
    <w:p w14:paraId="1DDE0088" w14:textId="77777777" w:rsidR="00D87550" w:rsidRDefault="00D87550" w:rsidP="00D87550">
      <w:pPr>
        <w:spacing w:before="120" w:after="120" w:line="360" w:lineRule="auto"/>
        <w:jc w:val="both"/>
        <w:rPr>
          <w:rFonts w:ascii="Century Schoolbook" w:hAnsi="Century Schoolbook"/>
          <w:sz w:val="20"/>
          <w:szCs w:val="20"/>
        </w:rPr>
      </w:pPr>
      <w:r>
        <w:rPr>
          <w:rFonts w:ascii="Century Schoolbook" w:hAnsi="Century Schoolbook"/>
          <w:sz w:val="20"/>
          <w:szCs w:val="20"/>
        </w:rPr>
        <w:t>A empresa possui 20% (vinte por cento) de participação societária na empresa MAPA DIGITAL SPE, CNPJ n</w:t>
      </w:r>
      <w:r w:rsidRPr="00CF74D3">
        <w:rPr>
          <w:rFonts w:ascii="Century Schoolbook" w:hAnsi="Century Schoolbook"/>
          <w:strike/>
          <w:sz w:val="20"/>
          <w:szCs w:val="20"/>
        </w:rPr>
        <w:t>º</w:t>
      </w:r>
      <w:r>
        <w:rPr>
          <w:rFonts w:ascii="Century Schoolbook" w:hAnsi="Century Schoolbook"/>
          <w:sz w:val="20"/>
          <w:szCs w:val="20"/>
        </w:rPr>
        <w:t xml:space="preserve"> </w:t>
      </w:r>
      <w:r w:rsidRPr="00CF74D3">
        <w:rPr>
          <w:rFonts w:ascii="Century Schoolbook" w:hAnsi="Century Schoolbook"/>
          <w:sz w:val="20"/>
          <w:szCs w:val="20"/>
        </w:rPr>
        <w:t>61.702.802/0001-38</w:t>
      </w:r>
      <w:r>
        <w:rPr>
          <w:rFonts w:ascii="Century Schoolbook" w:hAnsi="Century Schoolbook"/>
          <w:sz w:val="20"/>
          <w:szCs w:val="20"/>
        </w:rPr>
        <w:t xml:space="preserve">, cujo capital social é </w:t>
      </w:r>
      <w:r w:rsidRPr="00CF74D3">
        <w:rPr>
          <w:rFonts w:ascii="Century Schoolbook" w:hAnsi="Century Schoolbook"/>
          <w:sz w:val="20"/>
          <w:szCs w:val="20"/>
        </w:rPr>
        <w:t>R$5.000.000,00 (</w:t>
      </w:r>
      <w:r>
        <w:rPr>
          <w:rFonts w:ascii="Century Schoolbook" w:hAnsi="Century Schoolbook"/>
          <w:sz w:val="20"/>
          <w:szCs w:val="20"/>
        </w:rPr>
        <w:t>c</w:t>
      </w:r>
      <w:r w:rsidRPr="00CF74D3">
        <w:rPr>
          <w:rFonts w:ascii="Century Schoolbook" w:hAnsi="Century Schoolbook"/>
          <w:sz w:val="20"/>
          <w:szCs w:val="20"/>
        </w:rPr>
        <w:t>inco milhões de reais)</w:t>
      </w:r>
      <w:r>
        <w:rPr>
          <w:rFonts w:ascii="Century Schoolbook" w:hAnsi="Century Schoolbook"/>
          <w:sz w:val="20"/>
          <w:szCs w:val="20"/>
        </w:rPr>
        <w:t>. Além disso, no exercício em tela houve a reincorporação de um imóvel localizado à Rua Portugal, Centro, São Luís (MA), avaliado em R$ 548.000 (quinhentos e quarenta e oito mil reais), conforme relatório técnico, ao patrimônio da companhia.</w:t>
      </w:r>
    </w:p>
    <w:p w14:paraId="68C71FAB" w14:textId="77777777" w:rsidR="00D87550" w:rsidRDefault="00D87550" w:rsidP="00D87550">
      <w:pPr>
        <w:spacing w:before="120" w:after="120" w:line="360" w:lineRule="auto"/>
        <w:jc w:val="both"/>
        <w:rPr>
          <w:rFonts w:ascii="Century Schoolbook" w:hAnsi="Century Schoolbook"/>
          <w:sz w:val="20"/>
          <w:szCs w:val="20"/>
        </w:rPr>
      </w:pPr>
      <w:r>
        <w:rPr>
          <w:rFonts w:ascii="Century Schoolbook" w:hAnsi="Century Schoolbook"/>
          <w:sz w:val="20"/>
          <w:szCs w:val="20"/>
        </w:rPr>
        <w:t>O referido imóvel havia sido dado em garantia em processo trabalhista envolvendo uma das empresas incorporadas pela MAPA e ao final da ação a justiça entendeu que o bem deveria voltar ao seu proprietário original. Como há a expectativa de receitas futuras com o bem, optou-se pela classificação contábil como bens imóveis mantidos para negociações futuras ao invés de imobilizado.</w:t>
      </w:r>
    </w:p>
    <w:p w14:paraId="3A16E127" w14:textId="77777777" w:rsidR="00D87550" w:rsidRPr="00381FAF" w:rsidRDefault="00D87550" w:rsidP="00D87550">
      <w:pPr>
        <w:spacing w:before="120" w:after="120" w:line="360" w:lineRule="auto"/>
        <w:jc w:val="both"/>
        <w:rPr>
          <w:rFonts w:ascii="Century Schoolbook" w:hAnsi="Century Schoolbook"/>
          <w:sz w:val="20"/>
          <w:szCs w:val="20"/>
        </w:rPr>
      </w:pPr>
    </w:p>
    <w:p w14:paraId="1AC85C94" w14:textId="77777777" w:rsidR="00D87550"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NOTA 2</w:t>
      </w:r>
      <w:r>
        <w:rPr>
          <w:rFonts w:ascii="Century Schoolbook" w:hAnsi="Century Schoolbook"/>
          <w:b/>
          <w:bCs/>
          <w:sz w:val="20"/>
          <w:szCs w:val="20"/>
        </w:rPr>
        <w:t>1</w:t>
      </w:r>
      <w:r w:rsidRPr="007D72B9">
        <w:rPr>
          <w:rFonts w:ascii="Century Schoolbook" w:hAnsi="Century Schoolbook"/>
          <w:b/>
          <w:bCs/>
          <w:sz w:val="20"/>
          <w:szCs w:val="20"/>
        </w:rPr>
        <w:t xml:space="preserve"> – FORNECEDORES E PRESTADORES DE SERVIÇOS</w:t>
      </w:r>
    </w:p>
    <w:p w14:paraId="13945137" w14:textId="77777777" w:rsidR="00D87550" w:rsidRPr="007D72B9" w:rsidRDefault="00D87550" w:rsidP="00D87550">
      <w:pPr>
        <w:spacing w:before="120" w:after="120" w:line="360" w:lineRule="auto"/>
        <w:jc w:val="both"/>
        <w:rPr>
          <w:rFonts w:ascii="Century Schoolbook" w:hAnsi="Century Schoolbook"/>
          <w:b/>
          <w:bCs/>
          <w:sz w:val="20"/>
          <w:szCs w:val="20"/>
        </w:rPr>
      </w:pPr>
    </w:p>
    <w:p w14:paraId="3BFC6E57" w14:textId="77777777" w:rsidR="00D87550"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Refere-se ao reconhecimento das obrigações assumidas pela companhia relacionadas à aquisição de bens e serviços essenciais para a sua operação. Essas obrigações são devidamente escrituradas de forma nominal, com o registro do valor devido, após a dedução das contribuições retidas na fonte, quando aplicável, conforme determina a legislação vigente. Essa prática garante que todas as transações sejam contabilizadas de maneira precisa e transparente, refletindo os valores líquidos a serem pagos aos fornecedores ou prestadores de serviços.</w:t>
      </w:r>
    </w:p>
    <w:p w14:paraId="5E21E4C2" w14:textId="77777777" w:rsidR="00D87550" w:rsidRPr="007D72B9" w:rsidRDefault="00D87550" w:rsidP="00D87550">
      <w:pPr>
        <w:spacing w:before="120" w:after="120" w:line="360" w:lineRule="auto"/>
        <w:jc w:val="both"/>
        <w:rPr>
          <w:rFonts w:ascii="Century Schoolbook" w:hAnsi="Century Schoolbook"/>
          <w:sz w:val="20"/>
          <w:szCs w:val="20"/>
        </w:rPr>
      </w:pPr>
    </w:p>
    <w:tbl>
      <w:tblPr>
        <w:tblStyle w:val="TabelaSimples5"/>
        <w:tblW w:w="5000" w:type="pct"/>
        <w:tblLook w:val="04A0" w:firstRow="1" w:lastRow="0" w:firstColumn="1" w:lastColumn="0" w:noHBand="0" w:noVBand="1"/>
      </w:tblPr>
      <w:tblGrid>
        <w:gridCol w:w="7747"/>
        <w:gridCol w:w="1183"/>
        <w:gridCol w:w="1536"/>
      </w:tblGrid>
      <w:tr w:rsidR="00D87550" w:rsidRPr="00820D83" w14:paraId="1892BB7D" w14:textId="77777777" w:rsidTr="006B7A43">
        <w:trPr>
          <w:cnfStyle w:val="100000000000" w:firstRow="1" w:lastRow="0" w:firstColumn="0" w:lastColumn="0" w:oddVBand="0" w:evenVBand="0" w:oddHBand="0" w:evenHBand="0" w:firstRowFirstColumn="0" w:firstRowLastColumn="0" w:lastRowFirstColumn="0" w:lastRowLastColumn="0"/>
          <w:trHeight w:val="267"/>
        </w:trPr>
        <w:tc>
          <w:tcPr>
            <w:cnfStyle w:val="001000000100" w:firstRow="0" w:lastRow="0" w:firstColumn="1" w:lastColumn="0" w:oddVBand="0" w:evenVBand="0" w:oddHBand="0" w:evenHBand="0" w:firstRowFirstColumn="1" w:firstRowLastColumn="0" w:lastRowFirstColumn="0" w:lastRowLastColumn="0"/>
            <w:tcW w:w="3701" w:type="pct"/>
            <w:noWrap/>
            <w:hideMark/>
          </w:tcPr>
          <w:p w14:paraId="5551C88F" w14:textId="77777777" w:rsidR="00D87550" w:rsidRPr="00820D83" w:rsidRDefault="00D87550" w:rsidP="006B7A43">
            <w:pPr>
              <w:rPr>
                <w:rFonts w:ascii="Century Schoolbook" w:hAnsi="Century Schoolbook"/>
                <w:b/>
                <w:bCs/>
                <w:color w:val="000000"/>
                <w:kern w:val="0"/>
                <w:sz w:val="16"/>
                <w:szCs w:val="16"/>
                <w:lang w:eastAsia="pt-BR"/>
              </w:rPr>
            </w:pPr>
            <w:r w:rsidRPr="00820D83">
              <w:rPr>
                <w:rFonts w:ascii="Century Schoolbook" w:hAnsi="Century Schoolbook"/>
                <w:b/>
                <w:bCs/>
                <w:color w:val="000000"/>
                <w:kern w:val="0"/>
                <w:sz w:val="16"/>
                <w:szCs w:val="16"/>
                <w:lang w:eastAsia="pt-BR"/>
              </w:rPr>
              <w:t>FORNECEDORES E PRESTADORES DE SERVIÇOS</w:t>
            </w:r>
          </w:p>
        </w:tc>
        <w:tc>
          <w:tcPr>
            <w:tcW w:w="565" w:type="pct"/>
            <w:noWrap/>
            <w:hideMark/>
          </w:tcPr>
          <w:p w14:paraId="3D87E6DF" w14:textId="77777777" w:rsidR="00D87550" w:rsidRPr="00820D83" w:rsidRDefault="00D87550" w:rsidP="006B7A43">
            <w:pPr>
              <w:jc w:val="center"/>
              <w:cnfStyle w:val="100000000000" w:firstRow="1" w:lastRow="0" w:firstColumn="0" w:lastColumn="0" w:oddVBand="0" w:evenVBand="0" w:oddHBand="0" w:evenHBand="0" w:firstRowFirstColumn="0" w:firstRowLastColumn="0" w:lastRowFirstColumn="0" w:lastRowLastColumn="0"/>
              <w:rPr>
                <w:rFonts w:ascii="Century Schoolbook" w:hAnsi="Century Schoolbook"/>
                <w:b/>
                <w:bCs/>
                <w:color w:val="000000"/>
                <w:kern w:val="0"/>
                <w:sz w:val="16"/>
                <w:szCs w:val="16"/>
                <w:lang w:eastAsia="pt-BR"/>
              </w:rPr>
            </w:pPr>
            <w:r w:rsidRPr="00820D83">
              <w:rPr>
                <w:rFonts w:ascii="Century Schoolbook" w:hAnsi="Century Schoolbook"/>
                <w:b/>
                <w:bCs/>
                <w:color w:val="000000"/>
                <w:kern w:val="0"/>
                <w:sz w:val="16"/>
                <w:szCs w:val="16"/>
                <w:lang w:eastAsia="pt-BR"/>
              </w:rPr>
              <w:t>2024</w:t>
            </w:r>
          </w:p>
        </w:tc>
        <w:tc>
          <w:tcPr>
            <w:tcW w:w="734" w:type="pct"/>
            <w:noWrap/>
            <w:hideMark/>
          </w:tcPr>
          <w:p w14:paraId="21B0D972" w14:textId="77777777" w:rsidR="00D87550" w:rsidRPr="00820D83" w:rsidRDefault="00D87550" w:rsidP="006B7A43">
            <w:pPr>
              <w:jc w:val="center"/>
              <w:cnfStyle w:val="100000000000" w:firstRow="1" w:lastRow="0" w:firstColumn="0" w:lastColumn="0" w:oddVBand="0" w:evenVBand="0" w:oddHBand="0" w:evenHBand="0" w:firstRowFirstColumn="0" w:firstRowLastColumn="0" w:lastRowFirstColumn="0" w:lastRowLastColumn="0"/>
              <w:rPr>
                <w:rFonts w:ascii="Century Schoolbook" w:hAnsi="Century Schoolbook"/>
                <w:b/>
                <w:bCs/>
                <w:color w:val="000000"/>
                <w:kern w:val="0"/>
                <w:sz w:val="16"/>
                <w:szCs w:val="16"/>
                <w:lang w:eastAsia="pt-BR"/>
              </w:rPr>
            </w:pPr>
            <w:r w:rsidRPr="00820D83">
              <w:rPr>
                <w:rFonts w:ascii="Century Schoolbook" w:hAnsi="Century Schoolbook"/>
                <w:b/>
                <w:bCs/>
                <w:color w:val="000000"/>
                <w:kern w:val="0"/>
                <w:sz w:val="16"/>
                <w:szCs w:val="16"/>
                <w:lang w:eastAsia="pt-BR"/>
              </w:rPr>
              <w:t>2025</w:t>
            </w:r>
          </w:p>
        </w:tc>
      </w:tr>
      <w:tr w:rsidR="00D87550" w:rsidRPr="00820D83" w14:paraId="763A4097" w14:textId="77777777" w:rsidTr="006B7A4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502F726A"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A C M LAGO</w:t>
            </w:r>
          </w:p>
        </w:tc>
        <w:tc>
          <w:tcPr>
            <w:tcW w:w="565" w:type="pct"/>
            <w:noWrap/>
            <w:hideMark/>
          </w:tcPr>
          <w:p w14:paraId="47453BB4"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46103125"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3.184,50</w:t>
            </w:r>
          </w:p>
        </w:tc>
      </w:tr>
      <w:tr w:rsidR="00D87550" w:rsidRPr="00820D83" w14:paraId="1D596CDA" w14:textId="77777777" w:rsidTr="006B7A43">
        <w:trPr>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33CCCD21"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ATLANTA TURISMO LTDA</w:t>
            </w:r>
          </w:p>
        </w:tc>
        <w:tc>
          <w:tcPr>
            <w:tcW w:w="565" w:type="pct"/>
            <w:noWrap/>
            <w:hideMark/>
          </w:tcPr>
          <w:p w14:paraId="52E63099"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63E32D9B"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43.842,84</w:t>
            </w:r>
          </w:p>
        </w:tc>
      </w:tr>
      <w:tr w:rsidR="00D87550" w:rsidRPr="00820D83" w14:paraId="3E7D573F" w14:textId="77777777" w:rsidTr="006B7A4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0AB19CFF"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EMPRESA BRASILEIRA DE CORREIOS E TELEGRAFOS</w:t>
            </w:r>
          </w:p>
        </w:tc>
        <w:tc>
          <w:tcPr>
            <w:tcW w:w="565" w:type="pct"/>
            <w:noWrap/>
            <w:hideMark/>
          </w:tcPr>
          <w:p w14:paraId="5AE0A625"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7752CC87"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147,54</w:t>
            </w:r>
          </w:p>
        </w:tc>
      </w:tr>
      <w:tr w:rsidR="00D87550" w:rsidRPr="00820D83" w14:paraId="056F3257" w14:textId="77777777" w:rsidTr="006B7A43">
        <w:trPr>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6988DDA2"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CONVENIOS CARD ADMINISTRADORA E EDITORA LTDA</w:t>
            </w:r>
          </w:p>
        </w:tc>
        <w:tc>
          <w:tcPr>
            <w:tcW w:w="565" w:type="pct"/>
            <w:noWrap/>
            <w:hideMark/>
          </w:tcPr>
          <w:p w14:paraId="42AB7036"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89.631,47</w:t>
            </w:r>
          </w:p>
        </w:tc>
        <w:tc>
          <w:tcPr>
            <w:tcW w:w="734" w:type="pct"/>
            <w:noWrap/>
            <w:hideMark/>
          </w:tcPr>
          <w:p w14:paraId="45FC91B9"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89.631,47</w:t>
            </w:r>
          </w:p>
        </w:tc>
      </w:tr>
      <w:tr w:rsidR="00D87550" w:rsidRPr="00820D83" w14:paraId="3D72780B" w14:textId="77777777" w:rsidTr="006B7A4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15EAD5B3"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WIKI TELECOMUNICACOES EIRELI</w:t>
            </w:r>
          </w:p>
        </w:tc>
        <w:tc>
          <w:tcPr>
            <w:tcW w:w="565" w:type="pct"/>
            <w:noWrap/>
            <w:hideMark/>
          </w:tcPr>
          <w:p w14:paraId="6D15004D"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59B986BA"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318,43</w:t>
            </w:r>
          </w:p>
        </w:tc>
      </w:tr>
      <w:tr w:rsidR="00D87550" w:rsidRPr="00820D83" w14:paraId="0B739E36" w14:textId="77777777" w:rsidTr="006B7A43">
        <w:trPr>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6B741C1B"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ELO CONSULTORIA EMPRESARIAL E PRODUCAO DE EVENTOS LTDA</w:t>
            </w:r>
          </w:p>
        </w:tc>
        <w:tc>
          <w:tcPr>
            <w:tcW w:w="565" w:type="pct"/>
            <w:noWrap/>
            <w:hideMark/>
          </w:tcPr>
          <w:p w14:paraId="6067170A"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6DEBD5BD"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3.577,63</w:t>
            </w:r>
          </w:p>
        </w:tc>
      </w:tr>
      <w:tr w:rsidR="00D87550" w:rsidRPr="00820D83" w14:paraId="34534FA2" w14:textId="77777777" w:rsidTr="006B7A4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6D893C7B"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EQUATORIAL MARANHAO DISTRIBUIDORA DE ENERGIA S.A</w:t>
            </w:r>
          </w:p>
        </w:tc>
        <w:tc>
          <w:tcPr>
            <w:tcW w:w="565" w:type="pct"/>
            <w:noWrap/>
            <w:hideMark/>
          </w:tcPr>
          <w:p w14:paraId="44E223BC"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3281B040"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24.091,22</w:t>
            </w:r>
          </w:p>
        </w:tc>
      </w:tr>
      <w:tr w:rsidR="00D87550" w:rsidRPr="00820D83" w14:paraId="3272CE93" w14:textId="77777777" w:rsidTr="006B7A43">
        <w:trPr>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7B22BF28"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CSA CONSULTORIA E SISTEMAS ABERTOS LTDA</w:t>
            </w:r>
          </w:p>
        </w:tc>
        <w:tc>
          <w:tcPr>
            <w:tcW w:w="565" w:type="pct"/>
            <w:noWrap/>
            <w:hideMark/>
          </w:tcPr>
          <w:p w14:paraId="7F0C6268"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192819CF"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10.962,50</w:t>
            </w:r>
          </w:p>
        </w:tc>
      </w:tr>
      <w:tr w:rsidR="00D87550" w:rsidRPr="00820D83" w14:paraId="147BCC3D" w14:textId="77777777" w:rsidTr="006B7A4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796BB5F7"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 xml:space="preserve">J </w:t>
            </w:r>
            <w:proofErr w:type="spellStart"/>
            <w:r w:rsidRPr="00820D83">
              <w:rPr>
                <w:rFonts w:ascii="Century Schoolbook" w:hAnsi="Century Schoolbook"/>
                <w:color w:val="000000"/>
                <w:kern w:val="0"/>
                <w:sz w:val="16"/>
                <w:szCs w:val="16"/>
                <w:lang w:eastAsia="pt-BR"/>
              </w:rPr>
              <w:t>J</w:t>
            </w:r>
            <w:proofErr w:type="spellEnd"/>
            <w:r w:rsidRPr="00820D83">
              <w:rPr>
                <w:rFonts w:ascii="Century Schoolbook" w:hAnsi="Century Schoolbook"/>
                <w:color w:val="000000"/>
                <w:kern w:val="0"/>
                <w:sz w:val="16"/>
                <w:szCs w:val="16"/>
                <w:lang w:eastAsia="pt-BR"/>
              </w:rPr>
              <w:t xml:space="preserve"> REFRIGERACOES E SERVICOS LTDA</w:t>
            </w:r>
          </w:p>
        </w:tc>
        <w:tc>
          <w:tcPr>
            <w:tcW w:w="565" w:type="pct"/>
            <w:noWrap/>
            <w:hideMark/>
          </w:tcPr>
          <w:p w14:paraId="3430B965"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4C452A7D"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12.611,28</w:t>
            </w:r>
          </w:p>
        </w:tc>
      </w:tr>
      <w:tr w:rsidR="00D87550" w:rsidRPr="00820D83" w14:paraId="66B3DE72" w14:textId="77777777" w:rsidTr="006B7A43">
        <w:trPr>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6C56F6EE"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lastRenderedPageBreak/>
              <w:t>LOCADORA CONTE EIRELI</w:t>
            </w:r>
          </w:p>
        </w:tc>
        <w:tc>
          <w:tcPr>
            <w:tcW w:w="565" w:type="pct"/>
            <w:noWrap/>
            <w:hideMark/>
          </w:tcPr>
          <w:p w14:paraId="5F4C0032"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01B06233"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33.498,34</w:t>
            </w:r>
          </w:p>
        </w:tc>
      </w:tr>
      <w:tr w:rsidR="00D87550" w:rsidRPr="00820D83" w14:paraId="34B0B1CA" w14:textId="77777777" w:rsidTr="006B7A4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1D69A3CB"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ZENNI LTDA</w:t>
            </w:r>
          </w:p>
        </w:tc>
        <w:tc>
          <w:tcPr>
            <w:tcW w:w="565" w:type="pct"/>
            <w:noWrap/>
            <w:hideMark/>
          </w:tcPr>
          <w:p w14:paraId="78BD6E32"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163970FF"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435,95</w:t>
            </w:r>
          </w:p>
        </w:tc>
      </w:tr>
      <w:tr w:rsidR="00D87550" w:rsidRPr="00820D83" w14:paraId="6B3083D8" w14:textId="77777777" w:rsidTr="006B7A43">
        <w:trPr>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79A17356"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VEROCHEQUE REFEICOES LTDA</w:t>
            </w:r>
          </w:p>
        </w:tc>
        <w:tc>
          <w:tcPr>
            <w:tcW w:w="565" w:type="pct"/>
            <w:noWrap/>
            <w:hideMark/>
          </w:tcPr>
          <w:p w14:paraId="41D2AC18"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4A20E651"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228.200,00</w:t>
            </w:r>
          </w:p>
        </w:tc>
      </w:tr>
      <w:tr w:rsidR="00D87550" w:rsidRPr="00820D83" w14:paraId="73917DB8" w14:textId="77777777" w:rsidTr="006B7A4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3F3EEE2E"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AMERICAN COMERCIO E SERVICOS LTDA ME</w:t>
            </w:r>
          </w:p>
        </w:tc>
        <w:tc>
          <w:tcPr>
            <w:tcW w:w="565" w:type="pct"/>
            <w:noWrap/>
            <w:hideMark/>
          </w:tcPr>
          <w:p w14:paraId="6C442629"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0D78EFBA"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278.638,94</w:t>
            </w:r>
          </w:p>
        </w:tc>
      </w:tr>
      <w:tr w:rsidR="00D87550" w:rsidRPr="00820D83" w14:paraId="6CAE1EE0" w14:textId="77777777" w:rsidTr="006B7A43">
        <w:trPr>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2F91032A"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ICP ELEVADORES SERVICOS E COMERCIO LTDA</w:t>
            </w:r>
          </w:p>
        </w:tc>
        <w:tc>
          <w:tcPr>
            <w:tcW w:w="565" w:type="pct"/>
            <w:noWrap/>
            <w:hideMark/>
          </w:tcPr>
          <w:p w14:paraId="69333DE5"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6DDA59A6"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1.000,00</w:t>
            </w:r>
          </w:p>
        </w:tc>
      </w:tr>
      <w:tr w:rsidR="00D87550" w:rsidRPr="00820D83" w14:paraId="332CD45C" w14:textId="77777777" w:rsidTr="006B7A4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6EE37507"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CINTIA TEREZA LIMA PIRES</w:t>
            </w:r>
          </w:p>
        </w:tc>
        <w:tc>
          <w:tcPr>
            <w:tcW w:w="565" w:type="pct"/>
            <w:noWrap/>
            <w:hideMark/>
          </w:tcPr>
          <w:p w14:paraId="270D7EE9"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4BCA83BD"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12.340,93</w:t>
            </w:r>
          </w:p>
        </w:tc>
      </w:tr>
      <w:tr w:rsidR="00D87550" w:rsidRPr="00820D83" w14:paraId="6DE5B438" w14:textId="77777777" w:rsidTr="006B7A43">
        <w:trPr>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59DB9A13"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IP SERVICOS E LOCACOES LTDA</w:t>
            </w:r>
          </w:p>
        </w:tc>
        <w:tc>
          <w:tcPr>
            <w:tcW w:w="565" w:type="pct"/>
            <w:noWrap/>
            <w:hideMark/>
          </w:tcPr>
          <w:p w14:paraId="58B29DC6"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575B8AB9"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4.005,61</w:t>
            </w:r>
          </w:p>
        </w:tc>
      </w:tr>
      <w:tr w:rsidR="00D87550" w:rsidRPr="00820D83" w14:paraId="31921A54" w14:textId="77777777" w:rsidTr="006B7A4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203FC075"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GRUPO LA PAZ EMPREENDIMENTOS LTDA</w:t>
            </w:r>
          </w:p>
        </w:tc>
        <w:tc>
          <w:tcPr>
            <w:tcW w:w="565" w:type="pct"/>
            <w:noWrap/>
            <w:hideMark/>
          </w:tcPr>
          <w:p w14:paraId="48C70293"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15BA927A"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32.749,20</w:t>
            </w:r>
          </w:p>
        </w:tc>
      </w:tr>
      <w:tr w:rsidR="00D87550" w:rsidRPr="00820D83" w14:paraId="3086A15A" w14:textId="77777777" w:rsidTr="006B7A43">
        <w:trPr>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4D08D158"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E P L SERVICOS E COMERCIO LTDA</w:t>
            </w:r>
          </w:p>
        </w:tc>
        <w:tc>
          <w:tcPr>
            <w:tcW w:w="565" w:type="pct"/>
            <w:noWrap/>
            <w:hideMark/>
          </w:tcPr>
          <w:p w14:paraId="66540C16"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41609025"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1.455,85</w:t>
            </w:r>
          </w:p>
        </w:tc>
      </w:tr>
      <w:tr w:rsidR="00D87550" w:rsidRPr="00820D83" w14:paraId="1B1E7E7B" w14:textId="77777777" w:rsidTr="006B7A4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37E8BF3B"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UNO1OP MARANHAO SPE LTDA</w:t>
            </w:r>
          </w:p>
        </w:tc>
        <w:tc>
          <w:tcPr>
            <w:tcW w:w="565" w:type="pct"/>
            <w:noWrap/>
            <w:hideMark/>
          </w:tcPr>
          <w:p w14:paraId="76FD037C"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637BB012"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40.005,12</w:t>
            </w:r>
          </w:p>
        </w:tc>
      </w:tr>
      <w:tr w:rsidR="00D87550" w:rsidRPr="00820D83" w14:paraId="167D4F18" w14:textId="77777777" w:rsidTr="006B7A43">
        <w:trPr>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7BE6E349"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NOVA INDUSTRIA, COMERCIO E SERVICOS LTDA</w:t>
            </w:r>
          </w:p>
        </w:tc>
        <w:tc>
          <w:tcPr>
            <w:tcW w:w="565" w:type="pct"/>
            <w:noWrap/>
            <w:hideMark/>
          </w:tcPr>
          <w:p w14:paraId="63AA66F9"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1B3D3740"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153.451,50</w:t>
            </w:r>
          </w:p>
        </w:tc>
      </w:tr>
      <w:tr w:rsidR="00D87550" w:rsidRPr="00820D83" w14:paraId="24713AC0" w14:textId="77777777" w:rsidTr="006B7A4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60501213"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MAXTEC SERVICOS GERAIS E MANUTENCAO INDUSTRIAL LTDA</w:t>
            </w:r>
          </w:p>
        </w:tc>
        <w:tc>
          <w:tcPr>
            <w:tcW w:w="565" w:type="pct"/>
            <w:noWrap/>
            <w:hideMark/>
          </w:tcPr>
          <w:p w14:paraId="7AD2523E"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71AA1193"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21.025,40</w:t>
            </w:r>
          </w:p>
        </w:tc>
      </w:tr>
      <w:tr w:rsidR="00D87550" w:rsidRPr="00820D83" w14:paraId="789BEAB3" w14:textId="77777777" w:rsidTr="006B7A43">
        <w:trPr>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26E7A574"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EQUIPAR LOCACAO DE EQUIPAMENTOS E SERVICOS LTDA</w:t>
            </w:r>
          </w:p>
        </w:tc>
        <w:tc>
          <w:tcPr>
            <w:tcW w:w="565" w:type="pct"/>
            <w:noWrap/>
            <w:hideMark/>
          </w:tcPr>
          <w:p w14:paraId="1FC3147B"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19F57526"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80.218,68</w:t>
            </w:r>
          </w:p>
        </w:tc>
      </w:tr>
      <w:tr w:rsidR="00D87550" w:rsidRPr="00820D83" w14:paraId="739A5423" w14:textId="77777777" w:rsidTr="006B7A4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1087C233"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J.V DE C SABINO</w:t>
            </w:r>
          </w:p>
        </w:tc>
        <w:tc>
          <w:tcPr>
            <w:tcW w:w="565" w:type="pct"/>
            <w:noWrap/>
            <w:hideMark/>
          </w:tcPr>
          <w:p w14:paraId="4331EB07"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6D1256D6"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4.706,51</w:t>
            </w:r>
          </w:p>
        </w:tc>
      </w:tr>
      <w:tr w:rsidR="00D87550" w:rsidRPr="00820D83" w14:paraId="237BDF05" w14:textId="77777777" w:rsidTr="006B7A43">
        <w:trPr>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029AC16C" w14:textId="77777777" w:rsidR="00D87550" w:rsidRPr="00820D83" w:rsidRDefault="00D87550" w:rsidP="006B7A43">
            <w:pPr>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KCM SERVICOS ESPECIALIZADOS DE LIMPEZA LTDA</w:t>
            </w:r>
          </w:p>
        </w:tc>
        <w:tc>
          <w:tcPr>
            <w:tcW w:w="565" w:type="pct"/>
            <w:noWrap/>
            <w:hideMark/>
          </w:tcPr>
          <w:p w14:paraId="05FB05B5"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0,00</w:t>
            </w:r>
          </w:p>
        </w:tc>
        <w:tc>
          <w:tcPr>
            <w:tcW w:w="734" w:type="pct"/>
            <w:noWrap/>
            <w:hideMark/>
          </w:tcPr>
          <w:p w14:paraId="0A16B073" w14:textId="77777777" w:rsidR="00D87550" w:rsidRPr="00820D83"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olor w:val="000000"/>
                <w:kern w:val="0"/>
                <w:sz w:val="16"/>
                <w:szCs w:val="16"/>
                <w:lang w:eastAsia="pt-BR"/>
              </w:rPr>
            </w:pPr>
            <w:r w:rsidRPr="00820D83">
              <w:rPr>
                <w:rFonts w:ascii="Century Schoolbook" w:hAnsi="Century Schoolbook"/>
                <w:color w:val="000000"/>
                <w:kern w:val="0"/>
                <w:sz w:val="16"/>
                <w:szCs w:val="16"/>
                <w:lang w:eastAsia="pt-BR"/>
              </w:rPr>
              <w:t>955.025,32</w:t>
            </w:r>
          </w:p>
        </w:tc>
      </w:tr>
      <w:tr w:rsidR="00D87550" w:rsidRPr="00820D83" w14:paraId="28FAE5F9" w14:textId="77777777" w:rsidTr="006B7A4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701" w:type="pct"/>
            <w:noWrap/>
            <w:hideMark/>
          </w:tcPr>
          <w:p w14:paraId="622796B0" w14:textId="77777777" w:rsidR="00D87550" w:rsidRPr="00820D83" w:rsidRDefault="00D87550" w:rsidP="006B7A43">
            <w:pPr>
              <w:rPr>
                <w:rFonts w:ascii="Century Schoolbook" w:hAnsi="Century Schoolbook"/>
                <w:color w:val="000000"/>
                <w:kern w:val="0"/>
                <w:sz w:val="16"/>
                <w:szCs w:val="16"/>
                <w:lang w:eastAsia="pt-BR"/>
              </w:rPr>
            </w:pPr>
          </w:p>
        </w:tc>
        <w:tc>
          <w:tcPr>
            <w:tcW w:w="565" w:type="pct"/>
            <w:noWrap/>
            <w:hideMark/>
          </w:tcPr>
          <w:p w14:paraId="23CCC903" w14:textId="77777777" w:rsidR="00D87550" w:rsidRPr="00820D83"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b/>
                <w:bCs/>
                <w:color w:val="000000"/>
                <w:kern w:val="0"/>
                <w:sz w:val="16"/>
                <w:szCs w:val="16"/>
                <w:lang w:eastAsia="pt-BR"/>
              </w:rPr>
            </w:pPr>
            <w:r w:rsidRPr="00820D83">
              <w:rPr>
                <w:rFonts w:ascii="Century Schoolbook" w:hAnsi="Century Schoolbook"/>
                <w:b/>
                <w:bCs/>
                <w:color w:val="000000"/>
                <w:kern w:val="0"/>
                <w:sz w:val="16"/>
                <w:szCs w:val="16"/>
                <w:lang w:eastAsia="pt-BR"/>
              </w:rPr>
              <w:t>89.631,47</w:t>
            </w:r>
          </w:p>
        </w:tc>
        <w:tc>
          <w:tcPr>
            <w:tcW w:w="734" w:type="pct"/>
            <w:noWrap/>
            <w:hideMark/>
          </w:tcPr>
          <w:p w14:paraId="02484139" w14:textId="77777777" w:rsidR="00D87550" w:rsidRPr="00A42EDE"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b/>
                <w:bCs/>
                <w:color w:val="000000"/>
                <w:kern w:val="0"/>
                <w:sz w:val="16"/>
                <w:szCs w:val="16"/>
                <w:lang w:eastAsia="pt-BR"/>
              </w:rPr>
            </w:pPr>
            <w:r w:rsidRPr="00DD1DDA">
              <w:rPr>
                <w:rFonts w:ascii="Century Schoolbook" w:hAnsi="Century Schoolbook"/>
                <w:b/>
                <w:bCs/>
                <w:color w:val="000000"/>
                <w:kern w:val="0"/>
                <w:sz w:val="16"/>
                <w:szCs w:val="16"/>
                <w:lang w:eastAsia="pt-BR"/>
              </w:rPr>
              <w:t>2</w:t>
            </w:r>
            <w:r>
              <w:rPr>
                <w:rFonts w:ascii="Century Schoolbook" w:hAnsi="Century Schoolbook"/>
                <w:b/>
                <w:bCs/>
                <w:color w:val="000000"/>
                <w:kern w:val="0"/>
                <w:sz w:val="16"/>
                <w:szCs w:val="16"/>
                <w:lang w:eastAsia="pt-BR"/>
              </w:rPr>
              <w:t>.</w:t>
            </w:r>
            <w:r w:rsidRPr="00DD1DDA">
              <w:rPr>
                <w:rFonts w:ascii="Century Schoolbook" w:hAnsi="Century Schoolbook"/>
                <w:b/>
                <w:bCs/>
                <w:color w:val="000000"/>
                <w:kern w:val="0"/>
                <w:sz w:val="16"/>
                <w:szCs w:val="16"/>
                <w:lang w:eastAsia="pt-BR"/>
              </w:rPr>
              <w:t>035</w:t>
            </w:r>
            <w:r>
              <w:rPr>
                <w:rFonts w:ascii="Century Schoolbook" w:hAnsi="Century Schoolbook"/>
                <w:b/>
                <w:bCs/>
                <w:color w:val="000000"/>
                <w:kern w:val="0"/>
                <w:sz w:val="16"/>
                <w:szCs w:val="16"/>
                <w:lang w:eastAsia="pt-BR"/>
              </w:rPr>
              <w:t>.</w:t>
            </w:r>
            <w:r w:rsidRPr="00DD1DDA">
              <w:rPr>
                <w:rFonts w:ascii="Century Schoolbook" w:hAnsi="Century Schoolbook"/>
                <w:b/>
                <w:bCs/>
                <w:color w:val="000000"/>
                <w:kern w:val="0"/>
                <w:sz w:val="16"/>
                <w:szCs w:val="16"/>
                <w:lang w:eastAsia="pt-BR"/>
              </w:rPr>
              <w:t>124,76</w:t>
            </w:r>
          </w:p>
        </w:tc>
      </w:tr>
    </w:tbl>
    <w:p w14:paraId="3C555920" w14:textId="77777777" w:rsidR="00D87550" w:rsidRDefault="00D87550" w:rsidP="00D87550">
      <w:pPr>
        <w:spacing w:before="120" w:after="120" w:line="360" w:lineRule="auto"/>
        <w:jc w:val="both"/>
        <w:rPr>
          <w:rFonts w:ascii="Century Schoolbook" w:hAnsi="Century Schoolbook"/>
          <w:b/>
          <w:bCs/>
          <w:sz w:val="20"/>
          <w:szCs w:val="20"/>
        </w:rPr>
      </w:pPr>
    </w:p>
    <w:p w14:paraId="3148FF09" w14:textId="77777777" w:rsidR="00D87550"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NOTA 2</w:t>
      </w:r>
      <w:r>
        <w:rPr>
          <w:rFonts w:ascii="Century Schoolbook" w:hAnsi="Century Schoolbook"/>
          <w:b/>
          <w:bCs/>
          <w:sz w:val="20"/>
          <w:szCs w:val="20"/>
        </w:rPr>
        <w:t>2</w:t>
      </w:r>
      <w:r w:rsidRPr="007D72B9">
        <w:rPr>
          <w:rFonts w:ascii="Century Schoolbook" w:hAnsi="Century Schoolbook"/>
          <w:b/>
          <w:bCs/>
          <w:sz w:val="20"/>
          <w:szCs w:val="20"/>
        </w:rPr>
        <w:t xml:space="preserve"> –</w:t>
      </w:r>
      <w:r>
        <w:rPr>
          <w:rFonts w:ascii="Century Schoolbook" w:hAnsi="Century Schoolbook"/>
          <w:b/>
          <w:bCs/>
          <w:sz w:val="20"/>
          <w:szCs w:val="20"/>
        </w:rPr>
        <w:t xml:space="preserve"> CONVÊNIOS E TRANSFERÊNCIAS</w:t>
      </w:r>
    </w:p>
    <w:p w14:paraId="586CD103" w14:textId="77777777" w:rsidR="00D87550" w:rsidRDefault="00D87550" w:rsidP="00D87550">
      <w:pPr>
        <w:spacing w:before="120" w:after="120" w:line="360" w:lineRule="auto"/>
        <w:jc w:val="both"/>
        <w:rPr>
          <w:rFonts w:ascii="Century Schoolbook" w:hAnsi="Century Schoolbook"/>
          <w:sz w:val="20"/>
          <w:szCs w:val="20"/>
        </w:rPr>
      </w:pPr>
    </w:p>
    <w:p w14:paraId="619B4AA3" w14:textId="77777777" w:rsidR="00D87550" w:rsidRDefault="00D87550" w:rsidP="00D87550">
      <w:pPr>
        <w:spacing w:before="120" w:after="120" w:line="360" w:lineRule="auto"/>
        <w:jc w:val="both"/>
        <w:rPr>
          <w:rFonts w:ascii="Century Schoolbook" w:hAnsi="Century Schoolbook"/>
          <w:b/>
          <w:bCs/>
          <w:sz w:val="20"/>
          <w:szCs w:val="20"/>
        </w:rPr>
      </w:pPr>
      <w:r>
        <w:rPr>
          <w:rFonts w:ascii="Century Schoolbook" w:hAnsi="Century Schoolbook"/>
          <w:sz w:val="20"/>
          <w:szCs w:val="20"/>
        </w:rPr>
        <w:t xml:space="preserve">Referem-se ao reconhecimento de valores a pagar a conveniados e parceiros públicos-privados no âmbito </w:t>
      </w:r>
      <w:proofErr w:type="spellStart"/>
      <w:r>
        <w:rPr>
          <w:rFonts w:ascii="Century Schoolbook" w:hAnsi="Century Schoolbook"/>
          <w:sz w:val="20"/>
          <w:szCs w:val="20"/>
        </w:rPr>
        <w:t>dos</w:t>
      </w:r>
      <w:proofErr w:type="spellEnd"/>
      <w:r>
        <w:rPr>
          <w:rFonts w:ascii="Century Schoolbook" w:hAnsi="Century Schoolbook"/>
          <w:sz w:val="20"/>
          <w:szCs w:val="20"/>
        </w:rPr>
        <w:t xml:space="preserve"> Programa Mãos à Obra e Convênios firmados entre a Maranhão Parcerias S.A e Secretaria de Estado da Administração Penitenciária do Maranhão.  </w:t>
      </w:r>
      <w:r>
        <w:rPr>
          <w:rFonts w:ascii="Century Schoolbook" w:hAnsi="Century Schoolbook"/>
          <w:b/>
          <w:bCs/>
          <w:sz w:val="20"/>
          <w:szCs w:val="20"/>
        </w:rPr>
        <w:t xml:space="preserve">  </w:t>
      </w:r>
    </w:p>
    <w:p w14:paraId="1D8B344C" w14:textId="77777777" w:rsidR="00D87550" w:rsidRDefault="00D87550" w:rsidP="00D87550">
      <w:pPr>
        <w:spacing w:before="120" w:after="120" w:line="360" w:lineRule="auto"/>
        <w:jc w:val="both"/>
        <w:rPr>
          <w:rFonts w:ascii="Century Schoolbook" w:hAnsi="Century Schoolbook"/>
          <w:b/>
          <w:bCs/>
          <w:sz w:val="20"/>
          <w:szCs w:val="20"/>
        </w:rPr>
      </w:pPr>
    </w:p>
    <w:p w14:paraId="0061FC5D"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NOTA 2</w:t>
      </w:r>
      <w:r>
        <w:rPr>
          <w:rFonts w:ascii="Century Schoolbook" w:hAnsi="Century Schoolbook"/>
          <w:b/>
          <w:bCs/>
          <w:sz w:val="20"/>
          <w:szCs w:val="20"/>
        </w:rPr>
        <w:t>3</w:t>
      </w:r>
      <w:r w:rsidRPr="007D72B9">
        <w:rPr>
          <w:rFonts w:ascii="Century Schoolbook" w:hAnsi="Century Schoolbook"/>
          <w:b/>
          <w:bCs/>
          <w:sz w:val="20"/>
          <w:szCs w:val="20"/>
        </w:rPr>
        <w:t xml:space="preserve"> – IMPOSTOS, CONTRIBUIÇÕES E CONSIGNAÇÕES A RECOLHER</w:t>
      </w:r>
    </w:p>
    <w:p w14:paraId="4A1B2A77" w14:textId="77777777" w:rsidR="00D87550" w:rsidRDefault="00D87550" w:rsidP="00D87550">
      <w:pPr>
        <w:spacing w:before="120" w:after="120" w:line="360" w:lineRule="auto"/>
        <w:jc w:val="both"/>
        <w:rPr>
          <w:rFonts w:ascii="Century Schoolbook" w:hAnsi="Century Schoolbook"/>
          <w:sz w:val="20"/>
          <w:szCs w:val="20"/>
        </w:rPr>
      </w:pPr>
    </w:p>
    <w:p w14:paraId="0F38F74B"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Este grupo contábil representa os empréstimos consignados obtidos pelos empregados junto a instituições financeiras integrantes do sistema bancário</w:t>
      </w:r>
      <w:r>
        <w:rPr>
          <w:rFonts w:ascii="Century Schoolbook" w:hAnsi="Century Schoolbook"/>
          <w:sz w:val="20"/>
          <w:szCs w:val="20"/>
        </w:rPr>
        <w:t xml:space="preserve"> nacional</w:t>
      </w:r>
      <w:r w:rsidRPr="007D72B9">
        <w:rPr>
          <w:rFonts w:ascii="Century Schoolbook" w:hAnsi="Century Schoolbook"/>
          <w:sz w:val="20"/>
          <w:szCs w:val="20"/>
        </w:rPr>
        <w:t xml:space="preserve">. </w:t>
      </w:r>
      <w:r>
        <w:rPr>
          <w:rFonts w:ascii="Century Schoolbook" w:hAnsi="Century Schoolbook"/>
          <w:sz w:val="20"/>
          <w:szCs w:val="20"/>
        </w:rPr>
        <w:t>Tais</w:t>
      </w:r>
      <w:r w:rsidRPr="007D72B9">
        <w:rPr>
          <w:rFonts w:ascii="Century Schoolbook" w:hAnsi="Century Schoolbook"/>
          <w:sz w:val="20"/>
          <w:szCs w:val="20"/>
        </w:rPr>
        <w:t xml:space="preserve"> empréstimos têm seus descontos realizados diretamente na folha de pagamento</w:t>
      </w:r>
      <w:r>
        <w:rPr>
          <w:rFonts w:ascii="Century Schoolbook" w:hAnsi="Century Schoolbook"/>
          <w:sz w:val="20"/>
          <w:szCs w:val="20"/>
        </w:rPr>
        <w:t xml:space="preserve"> e a </w:t>
      </w:r>
      <w:r w:rsidRPr="007D72B9">
        <w:rPr>
          <w:rFonts w:ascii="Century Schoolbook" w:hAnsi="Century Schoolbook"/>
          <w:sz w:val="20"/>
          <w:szCs w:val="20"/>
        </w:rPr>
        <w:t xml:space="preserve">MAPA </w:t>
      </w:r>
      <w:r>
        <w:rPr>
          <w:rFonts w:ascii="Century Schoolbook" w:hAnsi="Century Schoolbook"/>
          <w:sz w:val="20"/>
          <w:szCs w:val="20"/>
        </w:rPr>
        <w:t xml:space="preserve">é </w:t>
      </w:r>
      <w:r w:rsidRPr="007D72B9">
        <w:rPr>
          <w:rFonts w:ascii="Century Schoolbook" w:hAnsi="Century Schoolbook"/>
          <w:sz w:val="20"/>
          <w:szCs w:val="20"/>
        </w:rPr>
        <w:t>responsável pelo repasse dos valores descontados às instituições financeiras concessionárias dos créditos.</w:t>
      </w:r>
    </w:p>
    <w:p w14:paraId="1773B4DE"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Além disso, neste grupo também são contabilizadas as contribuições para a seguridade social e os impostos retidos, seja sobre a folha de pagamento dos empregados ou sobre as notas fiscais emitidas por prestadores de serviços. Nesse contexto, a Maranhão Parcerias atua como fiel depositária, assumindo a responsabilidade pela retenção e repasse desses valores aos órgãos competentes, como a Receita Federal e a Previdência Social.</w:t>
      </w:r>
    </w:p>
    <w:p w14:paraId="4CEE5A1A" w14:textId="77777777" w:rsidR="00D87550" w:rsidRDefault="00D87550" w:rsidP="00D87550">
      <w:pPr>
        <w:rPr>
          <w:rFonts w:ascii="Century Schoolbook" w:hAnsi="Century Schoolbook"/>
          <w:b/>
          <w:bCs/>
          <w:sz w:val="20"/>
          <w:szCs w:val="20"/>
        </w:rPr>
      </w:pPr>
      <w:r>
        <w:rPr>
          <w:rFonts w:ascii="Century Schoolbook" w:hAnsi="Century Schoolbook"/>
          <w:b/>
          <w:bCs/>
          <w:sz w:val="20"/>
          <w:szCs w:val="20"/>
        </w:rPr>
        <w:br w:type="page"/>
      </w:r>
    </w:p>
    <w:p w14:paraId="6F036CC9"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lastRenderedPageBreak/>
        <w:t>NOTA 2</w:t>
      </w:r>
      <w:r>
        <w:rPr>
          <w:rFonts w:ascii="Century Schoolbook" w:hAnsi="Century Schoolbook"/>
          <w:b/>
          <w:bCs/>
          <w:sz w:val="20"/>
          <w:szCs w:val="20"/>
        </w:rPr>
        <w:t>4</w:t>
      </w:r>
      <w:r w:rsidRPr="007D72B9">
        <w:rPr>
          <w:rFonts w:ascii="Century Schoolbook" w:hAnsi="Century Schoolbook"/>
          <w:b/>
          <w:bCs/>
          <w:sz w:val="20"/>
          <w:szCs w:val="20"/>
        </w:rPr>
        <w:t xml:space="preserve"> – OBRIGAÇÕES RELATIVAS A EMPREGADOS</w:t>
      </w:r>
    </w:p>
    <w:p w14:paraId="717156F3" w14:textId="77777777" w:rsidR="00D87550" w:rsidRDefault="00D87550" w:rsidP="00D87550">
      <w:pPr>
        <w:spacing w:before="120" w:after="120" w:line="360" w:lineRule="auto"/>
        <w:jc w:val="both"/>
        <w:rPr>
          <w:rFonts w:ascii="Century Schoolbook" w:hAnsi="Century Schoolbook"/>
          <w:sz w:val="20"/>
          <w:szCs w:val="20"/>
        </w:rPr>
      </w:pPr>
    </w:p>
    <w:p w14:paraId="242192E7"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A conta em questão destina-se ao registro de todas as obrigações relacionadas aos pagamentos efetuados aos empregados, abrangendo não apenas os salários básicos, mas também vantagens, benefícios e valores decorrentes de rescisões de contratos de trabalho. Além disso, inclui a remuneração dos membros da diretoria executiva, conselheiros e colaboradores que ocupam cargos em comissão.</w:t>
      </w:r>
    </w:p>
    <w:p w14:paraId="370D6DAD"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Outro aspecto relevante registrado nesta conta são os ressarcimentos de salários referentes a funcionários cedidos por meio de cessão onerosa por outros órgãos ou entidades.</w:t>
      </w:r>
    </w:p>
    <w:p w14:paraId="193563CF" w14:textId="77777777" w:rsidR="00D87550" w:rsidRDefault="00D87550" w:rsidP="00D87550">
      <w:pPr>
        <w:spacing w:before="120" w:after="120" w:line="360" w:lineRule="auto"/>
        <w:jc w:val="both"/>
        <w:rPr>
          <w:rFonts w:ascii="Century Schoolbook" w:hAnsi="Century Schoolbook"/>
          <w:b/>
          <w:bCs/>
          <w:sz w:val="20"/>
          <w:szCs w:val="20"/>
        </w:rPr>
      </w:pPr>
    </w:p>
    <w:p w14:paraId="3042CD7F"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NOTA 2</w:t>
      </w:r>
      <w:r>
        <w:rPr>
          <w:rFonts w:ascii="Century Schoolbook" w:hAnsi="Century Schoolbook"/>
          <w:b/>
          <w:bCs/>
          <w:sz w:val="20"/>
          <w:szCs w:val="20"/>
        </w:rPr>
        <w:t>5</w:t>
      </w:r>
      <w:r w:rsidRPr="007D72B9">
        <w:rPr>
          <w:rFonts w:ascii="Century Schoolbook" w:hAnsi="Century Schoolbook"/>
          <w:b/>
          <w:bCs/>
          <w:sz w:val="20"/>
          <w:szCs w:val="20"/>
        </w:rPr>
        <w:t xml:space="preserve"> – PRÊMIOS DE SEGUROS A PAGAR</w:t>
      </w:r>
    </w:p>
    <w:p w14:paraId="0DD25E0D" w14:textId="77777777" w:rsidR="00D87550" w:rsidRDefault="00D87550" w:rsidP="00D87550">
      <w:pPr>
        <w:spacing w:before="120" w:after="120" w:line="360" w:lineRule="auto"/>
        <w:jc w:val="both"/>
        <w:rPr>
          <w:rFonts w:ascii="Century Schoolbook" w:hAnsi="Century Schoolbook"/>
          <w:sz w:val="20"/>
          <w:szCs w:val="20"/>
        </w:rPr>
      </w:pPr>
    </w:p>
    <w:p w14:paraId="5A6ED530"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Trata-se do registro de prêmios de seguros habitacionais faturados por seguradoras, cujos valores ainda se encontram pendentes de liquidação. Esses prêmios estão incluídos nas prestações mensais pagas pelos mutuários e têm como objetivo principal cobrir eventuais danos materiais aos imóveis, bem como, perdas decorrentes de morte ou invalidez dos segurados.</w:t>
      </w:r>
    </w:p>
    <w:p w14:paraId="68F582AE" w14:textId="77777777" w:rsidR="00D87550" w:rsidRDefault="00D87550" w:rsidP="00D87550">
      <w:pPr>
        <w:spacing w:before="120" w:after="120" w:line="360" w:lineRule="auto"/>
        <w:jc w:val="both"/>
        <w:rPr>
          <w:rFonts w:ascii="Century Schoolbook" w:hAnsi="Century Schoolbook"/>
          <w:b/>
          <w:bCs/>
          <w:sz w:val="20"/>
          <w:szCs w:val="20"/>
        </w:rPr>
      </w:pPr>
    </w:p>
    <w:p w14:paraId="2DA32ACC"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NOTA 2</w:t>
      </w:r>
      <w:r>
        <w:rPr>
          <w:rFonts w:ascii="Century Schoolbook" w:hAnsi="Century Schoolbook"/>
          <w:b/>
          <w:bCs/>
          <w:sz w:val="20"/>
          <w:szCs w:val="20"/>
        </w:rPr>
        <w:t>6</w:t>
      </w:r>
      <w:r w:rsidRPr="007D72B9">
        <w:rPr>
          <w:rFonts w:ascii="Century Schoolbook" w:hAnsi="Century Schoolbook"/>
          <w:b/>
          <w:bCs/>
          <w:sz w:val="20"/>
          <w:szCs w:val="20"/>
        </w:rPr>
        <w:t xml:space="preserve"> – PARCELAMENTO DE NATUREZA NÃO TRIBUTÁRIA</w:t>
      </w:r>
    </w:p>
    <w:p w14:paraId="67ADA8ED" w14:textId="77777777" w:rsidR="00D87550" w:rsidRDefault="00D87550" w:rsidP="00D87550">
      <w:pPr>
        <w:spacing w:before="120" w:after="120" w:line="360" w:lineRule="auto"/>
        <w:jc w:val="both"/>
        <w:rPr>
          <w:rFonts w:ascii="Century Schoolbook" w:hAnsi="Century Schoolbook"/>
          <w:sz w:val="20"/>
          <w:szCs w:val="20"/>
        </w:rPr>
      </w:pPr>
    </w:p>
    <w:p w14:paraId="0C367D9E"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Os valores em questão referem-se ao parcelamento da Dívida Ativa da União, assumido pela MAPA ao término do exercício de 2024. A negociação foi consolidada em um prazo total de 60 (sessenta) meses, com condições acordadas que permitiram a diluição dos pagamentos ao longo desse período.</w:t>
      </w:r>
    </w:p>
    <w:p w14:paraId="217DD0FF" w14:textId="77777777" w:rsidR="00D87550"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Para fins contábeis, as parcelas com vencimento de até 12 (doze) meses foram classificadas como obrigações de curto prazo, sendo registradas no Passivo Circulante do balanço patrimonial. Já as parcelas com vencimento superior a esse prazo foram classificadas como obrigações de longo prazo, alocadas no Passivo Não Circulante.</w:t>
      </w:r>
    </w:p>
    <w:p w14:paraId="72C77BC2" w14:textId="77777777" w:rsidR="00D87550" w:rsidRDefault="00D87550" w:rsidP="00D87550">
      <w:pPr>
        <w:spacing w:before="120" w:after="120" w:line="360" w:lineRule="auto"/>
        <w:jc w:val="both"/>
        <w:rPr>
          <w:rFonts w:ascii="Century Schoolbook" w:hAnsi="Century Schoolbook"/>
          <w:b/>
          <w:bCs/>
          <w:sz w:val="20"/>
          <w:szCs w:val="20"/>
        </w:rPr>
      </w:pPr>
    </w:p>
    <w:p w14:paraId="69E3B95C" w14:textId="77777777" w:rsidR="00D87550"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NOTA 2</w:t>
      </w:r>
      <w:r>
        <w:rPr>
          <w:rFonts w:ascii="Century Schoolbook" w:hAnsi="Century Schoolbook"/>
          <w:b/>
          <w:bCs/>
          <w:sz w:val="20"/>
          <w:szCs w:val="20"/>
        </w:rPr>
        <w:t>7</w:t>
      </w:r>
      <w:r w:rsidRPr="007D72B9">
        <w:rPr>
          <w:rFonts w:ascii="Century Schoolbook" w:hAnsi="Century Schoolbook"/>
          <w:b/>
          <w:bCs/>
          <w:sz w:val="20"/>
          <w:szCs w:val="20"/>
        </w:rPr>
        <w:t xml:space="preserve"> –</w:t>
      </w:r>
      <w:r>
        <w:rPr>
          <w:rFonts w:ascii="Century Schoolbook" w:hAnsi="Century Schoolbook"/>
          <w:b/>
          <w:bCs/>
          <w:sz w:val="20"/>
          <w:szCs w:val="20"/>
        </w:rPr>
        <w:t xml:space="preserve"> VALORES CREDORES E TRASITÓRIOS</w:t>
      </w:r>
    </w:p>
    <w:p w14:paraId="604AF03C" w14:textId="77777777" w:rsidR="00D87550" w:rsidRDefault="00D87550" w:rsidP="00D87550">
      <w:pPr>
        <w:spacing w:before="120" w:after="120" w:line="360" w:lineRule="auto"/>
        <w:jc w:val="both"/>
        <w:rPr>
          <w:rFonts w:ascii="Century Schoolbook" w:hAnsi="Century Schoolbook"/>
          <w:sz w:val="20"/>
          <w:szCs w:val="20"/>
        </w:rPr>
      </w:pPr>
    </w:p>
    <w:p w14:paraId="35EF2AA1" w14:textId="77777777" w:rsidR="00D87550" w:rsidRPr="00C34F57" w:rsidRDefault="00D87550" w:rsidP="00D87550">
      <w:pPr>
        <w:spacing w:before="120" w:after="120" w:line="360" w:lineRule="auto"/>
        <w:jc w:val="both"/>
        <w:rPr>
          <w:rFonts w:ascii="Century Schoolbook" w:hAnsi="Century Schoolbook"/>
          <w:sz w:val="20"/>
          <w:szCs w:val="20"/>
        </w:rPr>
      </w:pPr>
      <w:r>
        <w:rPr>
          <w:rFonts w:ascii="Century Schoolbook" w:hAnsi="Century Schoolbook"/>
          <w:sz w:val="20"/>
          <w:szCs w:val="20"/>
        </w:rPr>
        <w:t>Trata-se de receitas diferidas adquiridas na forma de antecipação de outorgas pagas por empresas interessadas na operacionalização da L</w:t>
      </w:r>
      <w:r w:rsidRPr="00AE6934">
        <w:rPr>
          <w:rFonts w:ascii="Century Schoolbook" w:hAnsi="Century Schoolbook"/>
          <w:sz w:val="20"/>
          <w:szCs w:val="20"/>
        </w:rPr>
        <w:t>oteria Estadual do Maranhão (LOTEMA)</w:t>
      </w:r>
      <w:r>
        <w:rPr>
          <w:rFonts w:ascii="Century Schoolbook" w:hAnsi="Century Schoolbook"/>
          <w:sz w:val="20"/>
          <w:szCs w:val="20"/>
        </w:rPr>
        <w:t xml:space="preserve">, que consiste no serviço público de loteria gerenciado e fiscalizado pela </w:t>
      </w:r>
      <w:r w:rsidRPr="00AE6934">
        <w:rPr>
          <w:rFonts w:ascii="Century Schoolbook" w:hAnsi="Century Schoolbook"/>
          <w:sz w:val="20"/>
          <w:szCs w:val="20"/>
        </w:rPr>
        <w:t>Maranhão Parcerias, visa</w:t>
      </w:r>
      <w:r>
        <w:rPr>
          <w:rFonts w:ascii="Century Schoolbook" w:hAnsi="Century Schoolbook"/>
          <w:sz w:val="20"/>
          <w:szCs w:val="20"/>
        </w:rPr>
        <w:t>ndo</w:t>
      </w:r>
      <w:r w:rsidRPr="00AE6934">
        <w:rPr>
          <w:rFonts w:ascii="Century Schoolbook" w:hAnsi="Century Schoolbook"/>
          <w:sz w:val="20"/>
          <w:szCs w:val="20"/>
        </w:rPr>
        <w:t xml:space="preserve"> a captação de recursos por intermédio da concessão de jogos lotéricos, com o objetivo de apoiar as políticas públicas que beneficiem os maranhenses, gerando milhares de empregos diretos e indiretos.</w:t>
      </w:r>
    </w:p>
    <w:p w14:paraId="33432D7E"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b/>
          <w:bCs/>
          <w:sz w:val="20"/>
          <w:szCs w:val="20"/>
        </w:rPr>
        <w:t>NOTA 2</w:t>
      </w:r>
      <w:r>
        <w:rPr>
          <w:rFonts w:ascii="Century Schoolbook" w:hAnsi="Century Schoolbook"/>
          <w:b/>
          <w:bCs/>
          <w:sz w:val="20"/>
          <w:szCs w:val="20"/>
        </w:rPr>
        <w:t>8</w:t>
      </w:r>
      <w:r w:rsidRPr="007D72B9">
        <w:rPr>
          <w:rFonts w:ascii="Century Schoolbook" w:hAnsi="Century Schoolbook"/>
          <w:b/>
          <w:bCs/>
          <w:sz w:val="20"/>
          <w:szCs w:val="20"/>
        </w:rPr>
        <w:t xml:space="preserve"> – OUTROS EXIGÍVES DE CURTO E LONGO PRAZO</w:t>
      </w:r>
    </w:p>
    <w:p w14:paraId="33350DCC" w14:textId="77777777" w:rsidR="00D87550" w:rsidRDefault="00D87550" w:rsidP="00D87550">
      <w:pPr>
        <w:spacing w:before="120" w:after="120" w:line="360" w:lineRule="auto"/>
        <w:jc w:val="both"/>
        <w:rPr>
          <w:rFonts w:ascii="Century Schoolbook" w:hAnsi="Century Schoolbook"/>
          <w:sz w:val="20"/>
          <w:szCs w:val="20"/>
        </w:rPr>
      </w:pPr>
    </w:p>
    <w:p w14:paraId="155F087B"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sz w:val="20"/>
          <w:szCs w:val="20"/>
        </w:rPr>
        <w:t>Os encargos mencionados referem-se aos custos associados à negociação da Dívida Ativa da União, assumida pela empresa ao término do exercício. Para fins de classificação contábil, os encargos relacionados às parcelas com vencimento de até 12 (doze) meses foram reconhecidos no Passivo Circulante, refletindo obrigações de curto prazo. Já os encargos correspondentes às parcelas com prazo superior a 24 (vinte e quatro) meses foram classificados no Passivo Não Circulante, em conformidade com as normas contábeis vigentes e os princípios de segregação adequada das obrigações financeiras da empresa.</w:t>
      </w:r>
    </w:p>
    <w:p w14:paraId="79D50117" w14:textId="77777777" w:rsidR="00D87550" w:rsidRDefault="00D87550" w:rsidP="00D87550">
      <w:pPr>
        <w:spacing w:before="120" w:after="120" w:line="360" w:lineRule="auto"/>
        <w:jc w:val="both"/>
        <w:rPr>
          <w:rFonts w:ascii="Century Schoolbook" w:hAnsi="Century Schoolbook"/>
          <w:b/>
          <w:bCs/>
          <w:sz w:val="20"/>
          <w:szCs w:val="20"/>
        </w:rPr>
      </w:pPr>
    </w:p>
    <w:p w14:paraId="7B97C836"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NOTA 2</w:t>
      </w:r>
      <w:r>
        <w:rPr>
          <w:rFonts w:ascii="Century Schoolbook" w:hAnsi="Century Schoolbook"/>
          <w:b/>
          <w:bCs/>
          <w:sz w:val="20"/>
          <w:szCs w:val="20"/>
        </w:rPr>
        <w:t>9</w:t>
      </w:r>
      <w:r w:rsidRPr="007D72B9">
        <w:rPr>
          <w:rFonts w:ascii="Century Schoolbook" w:hAnsi="Century Schoolbook"/>
          <w:b/>
          <w:bCs/>
          <w:sz w:val="20"/>
          <w:szCs w:val="20"/>
        </w:rPr>
        <w:t xml:space="preserve"> – PATRIMÔNIO LÍQUIDO</w:t>
      </w:r>
    </w:p>
    <w:p w14:paraId="08E8BF60" w14:textId="77777777" w:rsidR="00D87550" w:rsidRDefault="00D87550" w:rsidP="00D87550">
      <w:pPr>
        <w:spacing w:before="120" w:after="120" w:line="360" w:lineRule="auto"/>
        <w:jc w:val="both"/>
        <w:rPr>
          <w:rFonts w:ascii="Century Schoolbook" w:hAnsi="Century Schoolbook"/>
          <w:b/>
          <w:bCs/>
          <w:sz w:val="20"/>
          <w:szCs w:val="20"/>
        </w:rPr>
      </w:pPr>
    </w:p>
    <w:p w14:paraId="64026DCF"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Nota 2</w:t>
      </w:r>
      <w:r>
        <w:rPr>
          <w:rFonts w:ascii="Century Schoolbook" w:hAnsi="Century Schoolbook"/>
          <w:b/>
          <w:bCs/>
          <w:sz w:val="20"/>
          <w:szCs w:val="20"/>
        </w:rPr>
        <w:t>9</w:t>
      </w:r>
      <w:r w:rsidRPr="007D72B9">
        <w:rPr>
          <w:rFonts w:ascii="Century Schoolbook" w:hAnsi="Century Schoolbook"/>
          <w:b/>
          <w:bCs/>
          <w:sz w:val="20"/>
          <w:szCs w:val="20"/>
        </w:rPr>
        <w:t>.1 – Capital Social</w:t>
      </w:r>
    </w:p>
    <w:p w14:paraId="4C3B9748" w14:textId="77777777" w:rsidR="00D87550"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O capital social da empresa está representado por 2.539.163.173 (dois bilhões, quinhentos e trinta e nove milhões, cento e sessenta e três mil, cento e setenta e três) ações, divididas entre ações ordinárias e preferenciais, sem valor nominal</w:t>
      </w:r>
      <w:r>
        <w:rPr>
          <w:rFonts w:ascii="Century Schoolbook" w:hAnsi="Century Schoolbook"/>
          <w:sz w:val="20"/>
          <w:szCs w:val="20"/>
        </w:rPr>
        <w:t xml:space="preserve"> e totaliza, atualmente, </w:t>
      </w:r>
      <w:r w:rsidRPr="007D72B9">
        <w:rPr>
          <w:rFonts w:ascii="Century Schoolbook" w:hAnsi="Century Schoolbook"/>
          <w:sz w:val="20"/>
          <w:szCs w:val="20"/>
        </w:rPr>
        <w:t xml:space="preserve">R$ </w:t>
      </w:r>
      <w:r w:rsidRPr="00C67A75">
        <w:rPr>
          <w:rFonts w:ascii="Century Schoolbook" w:hAnsi="Century Schoolbook"/>
          <w:sz w:val="20"/>
          <w:szCs w:val="20"/>
        </w:rPr>
        <w:t>489</w:t>
      </w:r>
      <w:r>
        <w:rPr>
          <w:rFonts w:ascii="Century Schoolbook" w:hAnsi="Century Schoolbook"/>
          <w:sz w:val="20"/>
          <w:szCs w:val="20"/>
        </w:rPr>
        <w:t>.</w:t>
      </w:r>
      <w:r w:rsidRPr="00C67A75">
        <w:rPr>
          <w:rFonts w:ascii="Century Schoolbook" w:hAnsi="Century Schoolbook"/>
          <w:sz w:val="20"/>
          <w:szCs w:val="20"/>
        </w:rPr>
        <w:t>168</w:t>
      </w:r>
      <w:r>
        <w:rPr>
          <w:rFonts w:ascii="Century Schoolbook" w:hAnsi="Century Schoolbook"/>
          <w:sz w:val="20"/>
          <w:szCs w:val="20"/>
        </w:rPr>
        <w:t>.</w:t>
      </w:r>
      <w:r w:rsidRPr="00C67A75">
        <w:rPr>
          <w:rFonts w:ascii="Century Schoolbook" w:hAnsi="Century Schoolbook"/>
          <w:sz w:val="20"/>
          <w:szCs w:val="20"/>
        </w:rPr>
        <w:t>428,5</w:t>
      </w:r>
      <w:r>
        <w:rPr>
          <w:rFonts w:ascii="Century Schoolbook" w:hAnsi="Century Schoolbook"/>
          <w:sz w:val="20"/>
          <w:szCs w:val="20"/>
        </w:rPr>
        <w:t>0</w:t>
      </w:r>
      <w:r w:rsidRPr="007D72B9">
        <w:rPr>
          <w:rFonts w:ascii="Century Schoolbook" w:hAnsi="Century Schoolbook"/>
          <w:sz w:val="20"/>
          <w:szCs w:val="20"/>
        </w:rPr>
        <w:t xml:space="preserve"> (quatrocentos e </w:t>
      </w:r>
      <w:r>
        <w:rPr>
          <w:rFonts w:ascii="Century Schoolbook" w:hAnsi="Century Schoolbook"/>
          <w:sz w:val="20"/>
          <w:szCs w:val="20"/>
        </w:rPr>
        <w:t xml:space="preserve">oitenta e nove </w:t>
      </w:r>
      <w:r w:rsidRPr="007D72B9">
        <w:rPr>
          <w:rFonts w:ascii="Century Schoolbook" w:hAnsi="Century Schoolbook"/>
          <w:sz w:val="20"/>
          <w:szCs w:val="20"/>
        </w:rPr>
        <w:t xml:space="preserve">milhões, </w:t>
      </w:r>
      <w:r>
        <w:rPr>
          <w:rFonts w:ascii="Century Schoolbook" w:hAnsi="Century Schoolbook"/>
          <w:sz w:val="20"/>
          <w:szCs w:val="20"/>
        </w:rPr>
        <w:t>cento</w:t>
      </w:r>
      <w:r w:rsidRPr="007D72B9">
        <w:rPr>
          <w:rFonts w:ascii="Century Schoolbook" w:hAnsi="Century Schoolbook"/>
          <w:sz w:val="20"/>
          <w:szCs w:val="20"/>
        </w:rPr>
        <w:t xml:space="preserve"> e </w:t>
      </w:r>
      <w:r>
        <w:rPr>
          <w:rFonts w:ascii="Century Schoolbook" w:hAnsi="Century Schoolbook"/>
          <w:sz w:val="20"/>
          <w:szCs w:val="20"/>
        </w:rPr>
        <w:t xml:space="preserve">sessenta e oito </w:t>
      </w:r>
      <w:r w:rsidRPr="007D72B9">
        <w:rPr>
          <w:rFonts w:ascii="Century Schoolbook" w:hAnsi="Century Schoolbook"/>
          <w:sz w:val="20"/>
          <w:szCs w:val="20"/>
        </w:rPr>
        <w:t xml:space="preserve">mil, </w:t>
      </w:r>
      <w:r>
        <w:rPr>
          <w:rFonts w:ascii="Century Schoolbook" w:hAnsi="Century Schoolbook"/>
          <w:sz w:val="20"/>
          <w:szCs w:val="20"/>
        </w:rPr>
        <w:t>quatrocentos e vinte e oito</w:t>
      </w:r>
      <w:r w:rsidRPr="007D72B9">
        <w:rPr>
          <w:rFonts w:ascii="Century Schoolbook" w:hAnsi="Century Schoolbook"/>
          <w:sz w:val="20"/>
          <w:szCs w:val="20"/>
        </w:rPr>
        <w:t xml:space="preserve"> reais e </w:t>
      </w:r>
      <w:r>
        <w:rPr>
          <w:rFonts w:ascii="Century Schoolbook" w:hAnsi="Century Schoolbook"/>
          <w:sz w:val="20"/>
          <w:szCs w:val="20"/>
        </w:rPr>
        <w:t>cinquenta</w:t>
      </w:r>
      <w:r w:rsidRPr="007D72B9">
        <w:rPr>
          <w:rFonts w:ascii="Century Schoolbook" w:hAnsi="Century Schoolbook"/>
          <w:sz w:val="20"/>
          <w:szCs w:val="20"/>
        </w:rPr>
        <w:t xml:space="preserve"> centavos)</w:t>
      </w:r>
      <w:r>
        <w:rPr>
          <w:rFonts w:ascii="Century Schoolbook" w:hAnsi="Century Schoolbook"/>
          <w:sz w:val="20"/>
          <w:szCs w:val="20"/>
        </w:rPr>
        <w:t>, destes</w:t>
      </w:r>
      <w:r w:rsidRPr="007D72B9">
        <w:rPr>
          <w:rFonts w:ascii="Century Schoolbook" w:hAnsi="Century Schoolbook"/>
          <w:sz w:val="20"/>
          <w:szCs w:val="20"/>
        </w:rPr>
        <w:t xml:space="preserve"> </w:t>
      </w:r>
      <w:r>
        <w:rPr>
          <w:rFonts w:ascii="Century Schoolbook" w:hAnsi="Century Schoolbook"/>
          <w:sz w:val="20"/>
          <w:szCs w:val="20"/>
        </w:rPr>
        <w:t xml:space="preserve">o </w:t>
      </w:r>
      <w:r w:rsidRPr="007D72B9">
        <w:rPr>
          <w:rFonts w:ascii="Century Schoolbook" w:hAnsi="Century Schoolbook"/>
          <w:sz w:val="20"/>
          <w:szCs w:val="20"/>
        </w:rPr>
        <w:t>Governo do Estado do Maranhão detém</w:t>
      </w:r>
      <w:r>
        <w:rPr>
          <w:rFonts w:ascii="Century Schoolbook" w:hAnsi="Century Schoolbook"/>
          <w:sz w:val="20"/>
          <w:szCs w:val="20"/>
        </w:rPr>
        <w:t xml:space="preserve"> o controle acionário de</w:t>
      </w:r>
      <w:r w:rsidRPr="007D72B9">
        <w:rPr>
          <w:rFonts w:ascii="Century Schoolbook" w:hAnsi="Century Schoolbook"/>
          <w:sz w:val="20"/>
          <w:szCs w:val="20"/>
        </w:rPr>
        <w:t xml:space="preserve"> 99,74%</w:t>
      </w:r>
      <w:r>
        <w:rPr>
          <w:rFonts w:ascii="Century Schoolbook" w:hAnsi="Century Schoolbook"/>
          <w:sz w:val="20"/>
          <w:szCs w:val="20"/>
        </w:rPr>
        <w:t xml:space="preserve"> (noventa e nove vírgula setenta e quatro por cento)</w:t>
      </w:r>
      <w:r w:rsidRPr="007D72B9">
        <w:rPr>
          <w:rFonts w:ascii="Century Schoolbook" w:hAnsi="Century Schoolbook"/>
          <w:sz w:val="20"/>
          <w:szCs w:val="20"/>
        </w:rPr>
        <w:t xml:space="preserve"> do </w:t>
      </w:r>
      <w:r>
        <w:rPr>
          <w:rFonts w:ascii="Century Schoolbook" w:hAnsi="Century Schoolbook"/>
          <w:sz w:val="20"/>
          <w:szCs w:val="20"/>
        </w:rPr>
        <w:t>total.</w:t>
      </w:r>
      <w:r w:rsidRPr="007D72B9">
        <w:rPr>
          <w:rFonts w:ascii="Century Schoolbook" w:hAnsi="Century Schoolbook"/>
          <w:sz w:val="20"/>
          <w:szCs w:val="20"/>
        </w:rPr>
        <w:t xml:space="preserve"> Essa concentração de capital evidencia o controle majoritário do Governo do Estado sobre a empresa, com participação quase total nas decisões estratégicas e administrativas.</w:t>
      </w:r>
    </w:p>
    <w:p w14:paraId="25279361" w14:textId="77777777" w:rsidR="00D87550" w:rsidRPr="007D72B9" w:rsidRDefault="00D87550" w:rsidP="00D87550">
      <w:pPr>
        <w:spacing w:before="120" w:after="120" w:line="360" w:lineRule="auto"/>
        <w:jc w:val="both"/>
        <w:rPr>
          <w:rFonts w:ascii="Century Schoolbook" w:hAnsi="Century Schoolbook"/>
          <w:sz w:val="20"/>
          <w:szCs w:val="20"/>
        </w:rPr>
      </w:pPr>
    </w:p>
    <w:tbl>
      <w:tblPr>
        <w:tblStyle w:val="SimplesTabela2"/>
        <w:tblW w:w="5000" w:type="pct"/>
        <w:tblLook w:val="04A0" w:firstRow="1" w:lastRow="0" w:firstColumn="1" w:lastColumn="0" w:noHBand="0" w:noVBand="1"/>
      </w:tblPr>
      <w:tblGrid>
        <w:gridCol w:w="3766"/>
        <w:gridCol w:w="3427"/>
        <w:gridCol w:w="2005"/>
        <w:gridCol w:w="1268"/>
      </w:tblGrid>
      <w:tr w:rsidR="00D87550" w:rsidRPr="007D72B9" w14:paraId="2F6F4B86" w14:textId="77777777" w:rsidTr="006B7A43">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799" w:type="pct"/>
            <w:tcBorders>
              <w:top w:val="single" w:sz="4" w:space="0" w:color="7F7F7F" w:themeColor="text1" w:themeTint="80"/>
            </w:tcBorders>
            <w:noWrap/>
            <w:vAlign w:val="center"/>
            <w:hideMark/>
          </w:tcPr>
          <w:p w14:paraId="7A4DAB21" w14:textId="77777777" w:rsidR="00D87550" w:rsidRPr="007D72B9" w:rsidRDefault="00D87550" w:rsidP="006B7A43">
            <w:pPr>
              <w:jc w:val="center"/>
              <w:rPr>
                <w:rFonts w:ascii="Century Schoolbook" w:hAnsi="Century Schoolbook"/>
                <w:i/>
                <w:iCs/>
                <w:color w:val="000000"/>
                <w:kern w:val="0"/>
                <w:sz w:val="20"/>
                <w:szCs w:val="20"/>
                <w:lang w:eastAsia="pt-BR"/>
              </w:rPr>
            </w:pPr>
            <w:r w:rsidRPr="007D72B9">
              <w:rPr>
                <w:rFonts w:ascii="Century Schoolbook" w:hAnsi="Century Schoolbook"/>
                <w:i/>
                <w:iCs/>
                <w:color w:val="000000"/>
                <w:kern w:val="0"/>
                <w:sz w:val="20"/>
                <w:szCs w:val="20"/>
                <w:lang w:eastAsia="pt-BR"/>
              </w:rPr>
              <w:t>ACIONISTA</w:t>
            </w:r>
          </w:p>
        </w:tc>
        <w:tc>
          <w:tcPr>
            <w:tcW w:w="1637" w:type="pct"/>
            <w:tcBorders>
              <w:top w:val="single" w:sz="4" w:space="0" w:color="7F7F7F" w:themeColor="text1" w:themeTint="80"/>
            </w:tcBorders>
            <w:noWrap/>
            <w:vAlign w:val="center"/>
            <w:hideMark/>
          </w:tcPr>
          <w:p w14:paraId="10AB085A" w14:textId="77777777" w:rsidR="00D87550" w:rsidRPr="007D72B9" w:rsidRDefault="00D87550" w:rsidP="006B7A43">
            <w:pPr>
              <w:jc w:val="center"/>
              <w:cnfStyle w:val="100000000000" w:firstRow="1" w:lastRow="0" w:firstColumn="0" w:lastColumn="0" w:oddVBand="0" w:evenVBand="0" w:oddHBand="0" w:evenHBand="0" w:firstRowFirstColumn="0" w:firstRowLastColumn="0" w:lastRowFirstColumn="0" w:lastRowLastColumn="0"/>
              <w:rPr>
                <w:rFonts w:ascii="Century Schoolbook" w:hAnsi="Century Schoolbook"/>
                <w:i/>
                <w:iCs/>
                <w:color w:val="000000"/>
                <w:kern w:val="0"/>
                <w:sz w:val="20"/>
                <w:szCs w:val="20"/>
                <w:lang w:eastAsia="pt-BR"/>
              </w:rPr>
            </w:pPr>
            <w:r w:rsidRPr="007D72B9">
              <w:rPr>
                <w:rFonts w:ascii="Century Schoolbook" w:hAnsi="Century Schoolbook"/>
                <w:i/>
                <w:iCs/>
                <w:color w:val="000000"/>
                <w:kern w:val="0"/>
                <w:sz w:val="20"/>
                <w:szCs w:val="20"/>
                <w:lang w:eastAsia="pt-BR"/>
              </w:rPr>
              <w:t>TIPO DE AÇÃO</w:t>
            </w:r>
          </w:p>
        </w:tc>
        <w:tc>
          <w:tcPr>
            <w:tcW w:w="958" w:type="pct"/>
            <w:tcBorders>
              <w:top w:val="single" w:sz="4" w:space="0" w:color="7F7F7F" w:themeColor="text1" w:themeTint="80"/>
            </w:tcBorders>
            <w:noWrap/>
            <w:vAlign w:val="center"/>
            <w:hideMark/>
          </w:tcPr>
          <w:p w14:paraId="0C6C25D0" w14:textId="77777777" w:rsidR="00D87550" w:rsidRPr="007D72B9" w:rsidRDefault="00D87550" w:rsidP="006B7A43">
            <w:pPr>
              <w:jc w:val="center"/>
              <w:cnfStyle w:val="100000000000" w:firstRow="1" w:lastRow="0" w:firstColumn="0" w:lastColumn="0" w:oddVBand="0" w:evenVBand="0" w:oddHBand="0" w:evenHBand="0" w:firstRowFirstColumn="0" w:firstRowLastColumn="0" w:lastRowFirstColumn="0" w:lastRowLastColumn="0"/>
              <w:rPr>
                <w:rFonts w:ascii="Century Schoolbook" w:hAnsi="Century Schoolbook"/>
                <w:i/>
                <w:iCs/>
                <w:color w:val="000000"/>
                <w:kern w:val="0"/>
                <w:sz w:val="20"/>
                <w:szCs w:val="20"/>
                <w:lang w:eastAsia="pt-BR"/>
              </w:rPr>
            </w:pPr>
            <w:r w:rsidRPr="007D72B9">
              <w:rPr>
                <w:rFonts w:ascii="Century Schoolbook" w:hAnsi="Century Schoolbook"/>
                <w:i/>
                <w:iCs/>
                <w:color w:val="000000"/>
                <w:kern w:val="0"/>
                <w:sz w:val="20"/>
                <w:szCs w:val="20"/>
                <w:lang w:eastAsia="pt-BR"/>
              </w:rPr>
              <w:t>QUANTIDADE</w:t>
            </w:r>
          </w:p>
        </w:tc>
        <w:tc>
          <w:tcPr>
            <w:tcW w:w="606" w:type="pct"/>
            <w:tcBorders>
              <w:top w:val="single" w:sz="4" w:space="0" w:color="7F7F7F" w:themeColor="text1" w:themeTint="80"/>
            </w:tcBorders>
            <w:noWrap/>
            <w:vAlign w:val="center"/>
            <w:hideMark/>
          </w:tcPr>
          <w:p w14:paraId="2BF34A1F" w14:textId="77777777" w:rsidR="00D87550" w:rsidRPr="007D72B9" w:rsidRDefault="00D87550" w:rsidP="006B7A43">
            <w:pPr>
              <w:jc w:val="center"/>
              <w:cnfStyle w:val="100000000000" w:firstRow="1" w:lastRow="0" w:firstColumn="0" w:lastColumn="0" w:oddVBand="0" w:evenVBand="0" w:oddHBand="0" w:evenHBand="0" w:firstRowFirstColumn="0" w:firstRowLastColumn="0" w:lastRowFirstColumn="0" w:lastRowLastColumn="0"/>
              <w:rPr>
                <w:rFonts w:ascii="Century Schoolbook" w:hAnsi="Century Schoolbook"/>
                <w:i/>
                <w:iCs/>
                <w:color w:val="000000"/>
                <w:kern w:val="0"/>
                <w:sz w:val="20"/>
                <w:szCs w:val="20"/>
                <w:lang w:eastAsia="pt-BR"/>
              </w:rPr>
            </w:pPr>
            <w:r w:rsidRPr="007D72B9">
              <w:rPr>
                <w:rFonts w:ascii="Century Schoolbook" w:hAnsi="Century Schoolbook"/>
                <w:i/>
                <w:iCs/>
                <w:color w:val="000000"/>
                <w:kern w:val="0"/>
                <w:sz w:val="20"/>
                <w:szCs w:val="20"/>
                <w:lang w:eastAsia="pt-BR"/>
              </w:rPr>
              <w:t>%</w:t>
            </w:r>
          </w:p>
        </w:tc>
      </w:tr>
      <w:tr w:rsidR="00D87550" w:rsidRPr="007D72B9" w14:paraId="3968AD05" w14:textId="77777777" w:rsidTr="006B7A4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799" w:type="pct"/>
            <w:noWrap/>
            <w:vAlign w:val="center"/>
            <w:hideMark/>
          </w:tcPr>
          <w:p w14:paraId="5BB1195D" w14:textId="77777777" w:rsidR="00D87550" w:rsidRPr="007D72B9" w:rsidRDefault="00D87550" w:rsidP="006B7A43">
            <w:pPr>
              <w:rPr>
                <w:rFonts w:ascii="Century Schoolbook" w:hAnsi="Century Schoolbook"/>
                <w:b w:val="0"/>
                <w:bCs w:val="0"/>
                <w:i/>
                <w:iCs/>
                <w:color w:val="000000"/>
                <w:kern w:val="0"/>
                <w:sz w:val="20"/>
                <w:szCs w:val="20"/>
                <w:lang w:eastAsia="pt-BR"/>
              </w:rPr>
            </w:pPr>
            <w:r w:rsidRPr="007D72B9">
              <w:rPr>
                <w:rFonts w:ascii="Century Schoolbook" w:hAnsi="Century Schoolbook"/>
                <w:b w:val="0"/>
                <w:bCs w:val="0"/>
                <w:i/>
                <w:iCs/>
                <w:color w:val="000000"/>
                <w:kern w:val="0"/>
                <w:sz w:val="20"/>
                <w:szCs w:val="20"/>
                <w:lang w:eastAsia="pt-BR"/>
              </w:rPr>
              <w:t>Governo do Estado do Maranhão</w:t>
            </w:r>
          </w:p>
        </w:tc>
        <w:tc>
          <w:tcPr>
            <w:tcW w:w="1637" w:type="pct"/>
            <w:noWrap/>
            <w:vAlign w:val="center"/>
            <w:hideMark/>
          </w:tcPr>
          <w:p w14:paraId="3426DBC7" w14:textId="77777777" w:rsidR="00D87550" w:rsidRPr="007D72B9" w:rsidRDefault="00D87550" w:rsidP="006B7A43">
            <w:pPr>
              <w:cnfStyle w:val="000000100000" w:firstRow="0" w:lastRow="0" w:firstColumn="0" w:lastColumn="0" w:oddVBand="0" w:evenVBand="0" w:oddHBand="1" w:evenHBand="0" w:firstRowFirstColumn="0" w:firstRowLastColumn="0" w:lastRowFirstColumn="0" w:lastRowLastColumn="0"/>
              <w:rPr>
                <w:rFonts w:ascii="Century Schoolbook" w:hAnsi="Century Schoolbook"/>
                <w:i/>
                <w:iCs/>
                <w:color w:val="000000"/>
                <w:kern w:val="0"/>
                <w:sz w:val="20"/>
                <w:szCs w:val="20"/>
                <w:lang w:eastAsia="pt-BR"/>
              </w:rPr>
            </w:pPr>
            <w:r w:rsidRPr="007D72B9">
              <w:rPr>
                <w:rFonts w:ascii="Century Schoolbook" w:hAnsi="Century Schoolbook"/>
                <w:i/>
                <w:iCs/>
                <w:color w:val="000000"/>
                <w:kern w:val="0"/>
                <w:sz w:val="20"/>
                <w:szCs w:val="20"/>
                <w:lang w:eastAsia="pt-BR"/>
              </w:rPr>
              <w:t>Ações ordinárias nominativas</w:t>
            </w:r>
          </w:p>
        </w:tc>
        <w:tc>
          <w:tcPr>
            <w:tcW w:w="958" w:type="pct"/>
            <w:noWrap/>
            <w:vAlign w:val="center"/>
            <w:hideMark/>
          </w:tcPr>
          <w:p w14:paraId="51CA36B6" w14:textId="77777777" w:rsidR="00D87550" w:rsidRPr="007D72B9"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i/>
                <w:iCs/>
                <w:color w:val="000000"/>
                <w:kern w:val="0"/>
                <w:sz w:val="20"/>
                <w:szCs w:val="20"/>
                <w:lang w:eastAsia="pt-BR"/>
              </w:rPr>
            </w:pPr>
            <w:r w:rsidRPr="007D72B9">
              <w:rPr>
                <w:rFonts w:ascii="Century Schoolbook" w:hAnsi="Century Schoolbook"/>
                <w:i/>
                <w:iCs/>
                <w:color w:val="000000"/>
                <w:kern w:val="0"/>
                <w:sz w:val="20"/>
                <w:szCs w:val="20"/>
                <w:lang w:eastAsia="pt-BR"/>
              </w:rPr>
              <w:t>2.491.642.728</w:t>
            </w:r>
          </w:p>
        </w:tc>
        <w:tc>
          <w:tcPr>
            <w:tcW w:w="606" w:type="pct"/>
            <w:noWrap/>
            <w:vAlign w:val="center"/>
            <w:hideMark/>
          </w:tcPr>
          <w:p w14:paraId="55A1C0A7" w14:textId="77777777" w:rsidR="00D87550" w:rsidRPr="007D72B9"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i/>
                <w:iCs/>
                <w:color w:val="000000"/>
                <w:kern w:val="0"/>
                <w:sz w:val="20"/>
                <w:szCs w:val="20"/>
                <w:lang w:eastAsia="pt-BR"/>
              </w:rPr>
            </w:pPr>
            <w:r w:rsidRPr="007D72B9">
              <w:rPr>
                <w:rFonts w:ascii="Century Schoolbook" w:hAnsi="Century Schoolbook"/>
                <w:i/>
                <w:iCs/>
                <w:color w:val="000000"/>
                <w:kern w:val="0"/>
                <w:sz w:val="20"/>
                <w:szCs w:val="20"/>
                <w:lang w:eastAsia="pt-BR"/>
              </w:rPr>
              <w:t>98,10%</w:t>
            </w:r>
          </w:p>
        </w:tc>
      </w:tr>
      <w:tr w:rsidR="00D87550" w:rsidRPr="007D72B9" w14:paraId="2E29AABC" w14:textId="77777777" w:rsidTr="006B7A43">
        <w:trPr>
          <w:trHeight w:val="330"/>
        </w:trPr>
        <w:tc>
          <w:tcPr>
            <w:cnfStyle w:val="001000000000" w:firstRow="0" w:lastRow="0" w:firstColumn="1" w:lastColumn="0" w:oddVBand="0" w:evenVBand="0" w:oddHBand="0" w:evenHBand="0" w:firstRowFirstColumn="0" w:firstRowLastColumn="0" w:lastRowFirstColumn="0" w:lastRowLastColumn="0"/>
            <w:tcW w:w="1799" w:type="pct"/>
            <w:noWrap/>
            <w:vAlign w:val="center"/>
            <w:hideMark/>
          </w:tcPr>
          <w:p w14:paraId="7FC2774C" w14:textId="77777777" w:rsidR="00D87550" w:rsidRPr="007D72B9" w:rsidRDefault="00D87550" w:rsidP="006B7A43">
            <w:pPr>
              <w:rPr>
                <w:rFonts w:ascii="Century Schoolbook" w:hAnsi="Century Schoolbook"/>
                <w:b w:val="0"/>
                <w:bCs w:val="0"/>
                <w:i/>
                <w:iCs/>
                <w:color w:val="000000"/>
                <w:kern w:val="0"/>
                <w:sz w:val="20"/>
                <w:szCs w:val="20"/>
                <w:lang w:eastAsia="pt-BR"/>
              </w:rPr>
            </w:pPr>
            <w:r w:rsidRPr="007D72B9">
              <w:rPr>
                <w:rFonts w:ascii="Century Schoolbook" w:hAnsi="Century Schoolbook"/>
                <w:b w:val="0"/>
                <w:bCs w:val="0"/>
                <w:i/>
                <w:iCs/>
                <w:color w:val="000000"/>
                <w:kern w:val="0"/>
                <w:sz w:val="20"/>
                <w:szCs w:val="20"/>
                <w:lang w:eastAsia="pt-BR"/>
              </w:rPr>
              <w:t>Outros</w:t>
            </w:r>
          </w:p>
        </w:tc>
        <w:tc>
          <w:tcPr>
            <w:tcW w:w="1637" w:type="pct"/>
            <w:noWrap/>
            <w:vAlign w:val="center"/>
            <w:hideMark/>
          </w:tcPr>
          <w:p w14:paraId="6267A0AF" w14:textId="77777777" w:rsidR="00D87550" w:rsidRPr="007D72B9" w:rsidRDefault="00D87550" w:rsidP="006B7A43">
            <w:pPr>
              <w:cnfStyle w:val="000000000000" w:firstRow="0" w:lastRow="0" w:firstColumn="0" w:lastColumn="0" w:oddVBand="0" w:evenVBand="0" w:oddHBand="0" w:evenHBand="0" w:firstRowFirstColumn="0" w:firstRowLastColumn="0" w:lastRowFirstColumn="0" w:lastRowLastColumn="0"/>
              <w:rPr>
                <w:rFonts w:ascii="Century Schoolbook" w:hAnsi="Century Schoolbook"/>
                <w:i/>
                <w:iCs/>
                <w:color w:val="000000"/>
                <w:kern w:val="0"/>
                <w:sz w:val="20"/>
                <w:szCs w:val="20"/>
                <w:lang w:eastAsia="pt-BR"/>
              </w:rPr>
            </w:pPr>
            <w:r w:rsidRPr="007D72B9">
              <w:rPr>
                <w:rFonts w:ascii="Century Schoolbook" w:hAnsi="Century Schoolbook"/>
                <w:i/>
                <w:iCs/>
                <w:color w:val="000000"/>
                <w:kern w:val="0"/>
                <w:sz w:val="20"/>
                <w:szCs w:val="20"/>
                <w:lang w:eastAsia="pt-BR"/>
              </w:rPr>
              <w:t>Ações ordinárias nominativas</w:t>
            </w:r>
          </w:p>
        </w:tc>
        <w:tc>
          <w:tcPr>
            <w:tcW w:w="958" w:type="pct"/>
            <w:noWrap/>
            <w:vAlign w:val="center"/>
            <w:hideMark/>
          </w:tcPr>
          <w:p w14:paraId="3C8C4000" w14:textId="77777777" w:rsidR="00D87550" w:rsidRPr="007D72B9"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i/>
                <w:iCs/>
                <w:color w:val="000000"/>
                <w:kern w:val="0"/>
                <w:sz w:val="20"/>
                <w:szCs w:val="20"/>
                <w:lang w:eastAsia="pt-BR"/>
              </w:rPr>
            </w:pPr>
            <w:r w:rsidRPr="007D72B9">
              <w:rPr>
                <w:rFonts w:ascii="Century Schoolbook" w:hAnsi="Century Schoolbook"/>
                <w:i/>
                <w:iCs/>
                <w:color w:val="000000"/>
                <w:kern w:val="0"/>
                <w:sz w:val="20"/>
                <w:szCs w:val="20"/>
                <w:lang w:eastAsia="pt-BR"/>
              </w:rPr>
              <w:t>152.619</w:t>
            </w:r>
          </w:p>
        </w:tc>
        <w:tc>
          <w:tcPr>
            <w:tcW w:w="606" w:type="pct"/>
            <w:noWrap/>
            <w:vAlign w:val="center"/>
            <w:hideMark/>
          </w:tcPr>
          <w:p w14:paraId="6B802573" w14:textId="77777777" w:rsidR="00D87550" w:rsidRPr="007D72B9"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i/>
                <w:iCs/>
                <w:color w:val="000000"/>
                <w:kern w:val="0"/>
                <w:sz w:val="20"/>
                <w:szCs w:val="20"/>
                <w:lang w:eastAsia="pt-BR"/>
              </w:rPr>
            </w:pPr>
            <w:r w:rsidRPr="007D72B9">
              <w:rPr>
                <w:rFonts w:ascii="Century Schoolbook" w:hAnsi="Century Schoolbook"/>
                <w:i/>
                <w:iCs/>
                <w:color w:val="000000"/>
                <w:kern w:val="0"/>
                <w:sz w:val="20"/>
                <w:szCs w:val="20"/>
                <w:lang w:eastAsia="pt-BR"/>
              </w:rPr>
              <w:t>0,01%</w:t>
            </w:r>
          </w:p>
        </w:tc>
      </w:tr>
      <w:tr w:rsidR="00D87550" w:rsidRPr="007D72B9" w14:paraId="0D386D8E" w14:textId="77777777" w:rsidTr="006B7A4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799" w:type="pct"/>
            <w:noWrap/>
            <w:vAlign w:val="center"/>
            <w:hideMark/>
          </w:tcPr>
          <w:p w14:paraId="0F87AED0" w14:textId="77777777" w:rsidR="00D87550" w:rsidRPr="007D72B9" w:rsidRDefault="00D87550" w:rsidP="006B7A43">
            <w:pPr>
              <w:rPr>
                <w:rFonts w:ascii="Century Schoolbook" w:hAnsi="Century Schoolbook"/>
                <w:b w:val="0"/>
                <w:bCs w:val="0"/>
                <w:i/>
                <w:iCs/>
                <w:color w:val="000000"/>
                <w:kern w:val="0"/>
                <w:sz w:val="20"/>
                <w:szCs w:val="20"/>
                <w:lang w:eastAsia="pt-BR"/>
              </w:rPr>
            </w:pPr>
            <w:r w:rsidRPr="007D72B9">
              <w:rPr>
                <w:rFonts w:ascii="Century Schoolbook" w:hAnsi="Century Schoolbook"/>
                <w:b w:val="0"/>
                <w:bCs w:val="0"/>
                <w:i/>
                <w:iCs/>
                <w:color w:val="000000"/>
                <w:kern w:val="0"/>
                <w:sz w:val="20"/>
                <w:szCs w:val="20"/>
                <w:lang w:eastAsia="pt-BR"/>
              </w:rPr>
              <w:t>Governo do Estado do Maranhão</w:t>
            </w:r>
          </w:p>
        </w:tc>
        <w:tc>
          <w:tcPr>
            <w:tcW w:w="1637" w:type="pct"/>
            <w:noWrap/>
            <w:vAlign w:val="center"/>
            <w:hideMark/>
          </w:tcPr>
          <w:p w14:paraId="634A2419" w14:textId="77777777" w:rsidR="00D87550" w:rsidRPr="007D72B9" w:rsidRDefault="00D87550" w:rsidP="006B7A43">
            <w:pPr>
              <w:cnfStyle w:val="000000100000" w:firstRow="0" w:lastRow="0" w:firstColumn="0" w:lastColumn="0" w:oddVBand="0" w:evenVBand="0" w:oddHBand="1" w:evenHBand="0" w:firstRowFirstColumn="0" w:firstRowLastColumn="0" w:lastRowFirstColumn="0" w:lastRowLastColumn="0"/>
              <w:rPr>
                <w:rFonts w:ascii="Century Schoolbook" w:hAnsi="Century Schoolbook"/>
                <w:i/>
                <w:iCs/>
                <w:color w:val="000000"/>
                <w:kern w:val="0"/>
                <w:sz w:val="20"/>
                <w:szCs w:val="20"/>
                <w:lang w:eastAsia="pt-BR"/>
              </w:rPr>
            </w:pPr>
            <w:r w:rsidRPr="007D72B9">
              <w:rPr>
                <w:rFonts w:ascii="Century Schoolbook" w:hAnsi="Century Schoolbook"/>
                <w:i/>
                <w:iCs/>
                <w:color w:val="000000"/>
                <w:kern w:val="0"/>
                <w:sz w:val="20"/>
                <w:szCs w:val="20"/>
                <w:lang w:eastAsia="pt-BR"/>
              </w:rPr>
              <w:t>Ações preferenciais</w:t>
            </w:r>
          </w:p>
        </w:tc>
        <w:tc>
          <w:tcPr>
            <w:tcW w:w="958" w:type="pct"/>
            <w:noWrap/>
            <w:vAlign w:val="center"/>
            <w:hideMark/>
          </w:tcPr>
          <w:p w14:paraId="2E57B850" w14:textId="77777777" w:rsidR="00D87550" w:rsidRPr="007D72B9"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i/>
                <w:iCs/>
                <w:color w:val="000000"/>
                <w:kern w:val="0"/>
                <w:sz w:val="20"/>
                <w:szCs w:val="20"/>
                <w:lang w:eastAsia="pt-BR"/>
              </w:rPr>
            </w:pPr>
            <w:r w:rsidRPr="007D72B9">
              <w:rPr>
                <w:rFonts w:ascii="Century Schoolbook" w:hAnsi="Century Schoolbook"/>
                <w:i/>
                <w:iCs/>
                <w:color w:val="000000"/>
                <w:kern w:val="0"/>
                <w:sz w:val="20"/>
                <w:szCs w:val="20"/>
                <w:lang w:eastAsia="pt-BR"/>
              </w:rPr>
              <w:t>40.997.833</w:t>
            </w:r>
          </w:p>
        </w:tc>
        <w:tc>
          <w:tcPr>
            <w:tcW w:w="606" w:type="pct"/>
            <w:noWrap/>
            <w:vAlign w:val="center"/>
            <w:hideMark/>
          </w:tcPr>
          <w:p w14:paraId="764697BF" w14:textId="77777777" w:rsidR="00D87550" w:rsidRPr="007D72B9"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i/>
                <w:iCs/>
                <w:color w:val="000000"/>
                <w:kern w:val="0"/>
                <w:sz w:val="20"/>
                <w:szCs w:val="20"/>
                <w:lang w:eastAsia="pt-BR"/>
              </w:rPr>
            </w:pPr>
            <w:r w:rsidRPr="007D72B9">
              <w:rPr>
                <w:rFonts w:ascii="Century Schoolbook" w:hAnsi="Century Schoolbook"/>
                <w:i/>
                <w:iCs/>
                <w:color w:val="000000"/>
                <w:kern w:val="0"/>
                <w:sz w:val="20"/>
                <w:szCs w:val="20"/>
                <w:lang w:eastAsia="pt-BR"/>
              </w:rPr>
              <w:t>1,64%</w:t>
            </w:r>
          </w:p>
        </w:tc>
      </w:tr>
      <w:tr w:rsidR="00D87550" w:rsidRPr="007D72B9" w14:paraId="0F6DB473" w14:textId="77777777" w:rsidTr="006B7A43">
        <w:trPr>
          <w:trHeight w:val="330"/>
        </w:trPr>
        <w:tc>
          <w:tcPr>
            <w:cnfStyle w:val="001000000000" w:firstRow="0" w:lastRow="0" w:firstColumn="1" w:lastColumn="0" w:oddVBand="0" w:evenVBand="0" w:oddHBand="0" w:evenHBand="0" w:firstRowFirstColumn="0" w:firstRowLastColumn="0" w:lastRowFirstColumn="0" w:lastRowLastColumn="0"/>
            <w:tcW w:w="1799" w:type="pct"/>
            <w:noWrap/>
            <w:vAlign w:val="center"/>
            <w:hideMark/>
          </w:tcPr>
          <w:p w14:paraId="48CF9B1B" w14:textId="77777777" w:rsidR="00D87550" w:rsidRPr="007D72B9" w:rsidRDefault="00D87550" w:rsidP="006B7A43">
            <w:pPr>
              <w:rPr>
                <w:rFonts w:ascii="Century Schoolbook" w:hAnsi="Century Schoolbook"/>
                <w:b w:val="0"/>
                <w:bCs w:val="0"/>
                <w:i/>
                <w:iCs/>
                <w:color w:val="000000"/>
                <w:kern w:val="0"/>
                <w:sz w:val="20"/>
                <w:szCs w:val="20"/>
                <w:lang w:eastAsia="pt-BR"/>
              </w:rPr>
            </w:pPr>
            <w:r w:rsidRPr="007D72B9">
              <w:rPr>
                <w:rFonts w:ascii="Century Schoolbook" w:hAnsi="Century Schoolbook"/>
                <w:b w:val="0"/>
                <w:bCs w:val="0"/>
                <w:i/>
                <w:iCs/>
                <w:color w:val="000000"/>
                <w:kern w:val="0"/>
                <w:sz w:val="20"/>
                <w:szCs w:val="20"/>
                <w:lang w:eastAsia="pt-BR"/>
              </w:rPr>
              <w:t>Outros</w:t>
            </w:r>
          </w:p>
        </w:tc>
        <w:tc>
          <w:tcPr>
            <w:tcW w:w="1637" w:type="pct"/>
            <w:noWrap/>
            <w:vAlign w:val="center"/>
            <w:hideMark/>
          </w:tcPr>
          <w:p w14:paraId="5F7E2F53" w14:textId="77777777" w:rsidR="00D87550" w:rsidRPr="007D72B9" w:rsidRDefault="00D87550" w:rsidP="006B7A43">
            <w:pPr>
              <w:cnfStyle w:val="000000000000" w:firstRow="0" w:lastRow="0" w:firstColumn="0" w:lastColumn="0" w:oddVBand="0" w:evenVBand="0" w:oddHBand="0" w:evenHBand="0" w:firstRowFirstColumn="0" w:firstRowLastColumn="0" w:lastRowFirstColumn="0" w:lastRowLastColumn="0"/>
              <w:rPr>
                <w:rFonts w:ascii="Century Schoolbook" w:hAnsi="Century Schoolbook"/>
                <w:i/>
                <w:iCs/>
                <w:color w:val="000000"/>
                <w:kern w:val="0"/>
                <w:sz w:val="20"/>
                <w:szCs w:val="20"/>
                <w:lang w:eastAsia="pt-BR"/>
              </w:rPr>
            </w:pPr>
            <w:r w:rsidRPr="007D72B9">
              <w:rPr>
                <w:rFonts w:ascii="Century Schoolbook" w:hAnsi="Century Schoolbook"/>
                <w:i/>
                <w:iCs/>
                <w:color w:val="000000"/>
                <w:kern w:val="0"/>
                <w:sz w:val="20"/>
                <w:szCs w:val="20"/>
                <w:lang w:eastAsia="pt-BR"/>
              </w:rPr>
              <w:t>Ações preferenciais</w:t>
            </w:r>
          </w:p>
        </w:tc>
        <w:tc>
          <w:tcPr>
            <w:tcW w:w="958" w:type="pct"/>
            <w:noWrap/>
            <w:vAlign w:val="center"/>
            <w:hideMark/>
          </w:tcPr>
          <w:p w14:paraId="06EA7F2A" w14:textId="77777777" w:rsidR="00D87550" w:rsidRPr="007D72B9"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i/>
                <w:iCs/>
                <w:color w:val="000000"/>
                <w:kern w:val="0"/>
                <w:sz w:val="20"/>
                <w:szCs w:val="20"/>
                <w:lang w:eastAsia="pt-BR"/>
              </w:rPr>
            </w:pPr>
            <w:r w:rsidRPr="007D72B9">
              <w:rPr>
                <w:rFonts w:ascii="Century Schoolbook" w:hAnsi="Century Schoolbook"/>
                <w:i/>
                <w:iCs/>
                <w:color w:val="000000"/>
                <w:kern w:val="0"/>
                <w:sz w:val="20"/>
                <w:szCs w:val="20"/>
                <w:lang w:eastAsia="pt-BR"/>
              </w:rPr>
              <w:t>6.369.993</w:t>
            </w:r>
          </w:p>
        </w:tc>
        <w:tc>
          <w:tcPr>
            <w:tcW w:w="606" w:type="pct"/>
            <w:noWrap/>
            <w:vAlign w:val="center"/>
            <w:hideMark/>
          </w:tcPr>
          <w:p w14:paraId="6D1D12F8" w14:textId="77777777" w:rsidR="00D87550" w:rsidRPr="007D72B9"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i/>
                <w:iCs/>
                <w:color w:val="000000"/>
                <w:kern w:val="0"/>
                <w:sz w:val="20"/>
                <w:szCs w:val="20"/>
                <w:lang w:eastAsia="pt-BR"/>
              </w:rPr>
            </w:pPr>
            <w:r w:rsidRPr="007D72B9">
              <w:rPr>
                <w:rFonts w:ascii="Century Schoolbook" w:hAnsi="Century Schoolbook"/>
                <w:i/>
                <w:iCs/>
                <w:color w:val="000000"/>
                <w:kern w:val="0"/>
                <w:sz w:val="20"/>
                <w:szCs w:val="20"/>
                <w:lang w:eastAsia="pt-BR"/>
              </w:rPr>
              <w:t>0,25%</w:t>
            </w:r>
          </w:p>
        </w:tc>
      </w:tr>
      <w:tr w:rsidR="00D87550" w:rsidRPr="007D72B9" w14:paraId="3C7D13B0" w14:textId="77777777" w:rsidTr="006B7A4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435" w:type="pct"/>
            <w:gridSpan w:val="2"/>
            <w:noWrap/>
            <w:vAlign w:val="center"/>
            <w:hideMark/>
          </w:tcPr>
          <w:p w14:paraId="7EB05918" w14:textId="77777777" w:rsidR="00D87550" w:rsidRPr="007D72B9" w:rsidRDefault="00D87550" w:rsidP="006B7A43">
            <w:pPr>
              <w:jc w:val="center"/>
              <w:rPr>
                <w:rFonts w:ascii="Century Schoolbook" w:hAnsi="Century Schoolbook"/>
                <w:i/>
                <w:iCs/>
                <w:color w:val="000000"/>
                <w:kern w:val="0"/>
                <w:sz w:val="20"/>
                <w:szCs w:val="20"/>
                <w:lang w:eastAsia="pt-BR"/>
              </w:rPr>
            </w:pPr>
            <w:r w:rsidRPr="007D72B9">
              <w:rPr>
                <w:rFonts w:ascii="Century Schoolbook" w:hAnsi="Century Schoolbook"/>
                <w:i/>
                <w:iCs/>
                <w:color w:val="000000"/>
                <w:kern w:val="0"/>
                <w:sz w:val="20"/>
                <w:szCs w:val="20"/>
                <w:lang w:eastAsia="pt-BR"/>
              </w:rPr>
              <w:t>TOTAIS</w:t>
            </w:r>
          </w:p>
        </w:tc>
        <w:tc>
          <w:tcPr>
            <w:tcW w:w="958" w:type="pct"/>
            <w:noWrap/>
            <w:vAlign w:val="center"/>
            <w:hideMark/>
          </w:tcPr>
          <w:p w14:paraId="4E56EC32" w14:textId="77777777" w:rsidR="00D87550" w:rsidRPr="007D72B9"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b/>
                <w:bCs/>
                <w:i/>
                <w:iCs/>
                <w:color w:val="000000"/>
                <w:kern w:val="0"/>
                <w:sz w:val="20"/>
                <w:szCs w:val="20"/>
                <w:lang w:eastAsia="pt-BR"/>
              </w:rPr>
            </w:pPr>
            <w:r w:rsidRPr="007D72B9">
              <w:rPr>
                <w:rFonts w:ascii="Century Schoolbook" w:hAnsi="Century Schoolbook"/>
                <w:b/>
                <w:bCs/>
                <w:i/>
                <w:iCs/>
                <w:color w:val="000000"/>
                <w:kern w:val="0"/>
                <w:sz w:val="20"/>
                <w:szCs w:val="20"/>
                <w:lang w:eastAsia="pt-BR"/>
              </w:rPr>
              <w:t>2.539.163.173</w:t>
            </w:r>
          </w:p>
        </w:tc>
        <w:tc>
          <w:tcPr>
            <w:tcW w:w="606" w:type="pct"/>
            <w:noWrap/>
            <w:vAlign w:val="center"/>
            <w:hideMark/>
          </w:tcPr>
          <w:p w14:paraId="77B02B61" w14:textId="77777777" w:rsidR="00D87550" w:rsidRPr="007D72B9"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b/>
                <w:bCs/>
                <w:i/>
                <w:iCs/>
                <w:color w:val="000000"/>
                <w:kern w:val="0"/>
                <w:sz w:val="20"/>
                <w:szCs w:val="20"/>
                <w:lang w:eastAsia="pt-BR"/>
              </w:rPr>
            </w:pPr>
            <w:r w:rsidRPr="007D72B9">
              <w:rPr>
                <w:rFonts w:ascii="Century Schoolbook" w:hAnsi="Century Schoolbook"/>
                <w:b/>
                <w:bCs/>
                <w:i/>
                <w:iCs/>
                <w:color w:val="000000"/>
                <w:kern w:val="0"/>
                <w:sz w:val="20"/>
                <w:szCs w:val="20"/>
                <w:lang w:eastAsia="pt-BR"/>
              </w:rPr>
              <w:t>100,00%</w:t>
            </w:r>
          </w:p>
        </w:tc>
      </w:tr>
    </w:tbl>
    <w:p w14:paraId="25690CB3" w14:textId="77777777" w:rsidR="00D87550" w:rsidRDefault="00D87550" w:rsidP="00D87550">
      <w:pPr>
        <w:spacing w:before="120" w:after="120" w:line="360" w:lineRule="auto"/>
        <w:jc w:val="both"/>
        <w:rPr>
          <w:rFonts w:ascii="Century Schoolbook" w:hAnsi="Century Schoolbook"/>
          <w:b/>
          <w:bCs/>
          <w:sz w:val="20"/>
          <w:szCs w:val="20"/>
        </w:rPr>
      </w:pPr>
    </w:p>
    <w:p w14:paraId="4A18E6A0"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Nota 2</w:t>
      </w:r>
      <w:r>
        <w:rPr>
          <w:rFonts w:ascii="Century Schoolbook" w:hAnsi="Century Schoolbook"/>
          <w:b/>
          <w:bCs/>
          <w:sz w:val="20"/>
          <w:szCs w:val="20"/>
        </w:rPr>
        <w:t>9</w:t>
      </w:r>
      <w:r w:rsidRPr="007D72B9">
        <w:rPr>
          <w:rFonts w:ascii="Century Schoolbook" w:hAnsi="Century Schoolbook"/>
          <w:b/>
          <w:bCs/>
          <w:sz w:val="20"/>
          <w:szCs w:val="20"/>
        </w:rPr>
        <w:t>.2 – Lucros ou Prejuízos Acumulados</w:t>
      </w:r>
    </w:p>
    <w:p w14:paraId="3854596C"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A empresa registrou um resultado deficitário no período, o qual foi adequadamente transferido ao seu patrimônio líquido por meio da conta de prejuízos acumulados. Além disso, houve a baixa da conta "Ajustes de Exercícios Anteriores", que foi utilizada para a retificação de erros de lançamentos identificados no exercício corrente. Essa prática está em conformidade com as disposições do CPC 23, Políticas Contábeis, Mudança de Estimativa e Retificação de Erro, assegurando a transparência e a adequação das demonstrações financeiras. As alterações decorrentes desses ajustes foram devidamente evidenciadas e detalhadas nas notas explicativas, garantindo a fidedignidade das informações contábeis e a correta representação da situação patrimonial da empresa. Tais medidas reforçam o compromisso da organização com a adoção das melhores práticas contábeis e a observância das normas vigentes.</w:t>
      </w:r>
    </w:p>
    <w:p w14:paraId="16F76126"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lastRenderedPageBreak/>
        <w:t>Nota 2</w:t>
      </w:r>
      <w:r>
        <w:rPr>
          <w:rFonts w:ascii="Century Schoolbook" w:hAnsi="Century Schoolbook"/>
          <w:b/>
          <w:bCs/>
          <w:sz w:val="20"/>
          <w:szCs w:val="20"/>
        </w:rPr>
        <w:t>9</w:t>
      </w:r>
      <w:r w:rsidRPr="007D72B9">
        <w:rPr>
          <w:rFonts w:ascii="Century Schoolbook" w:hAnsi="Century Schoolbook"/>
          <w:b/>
          <w:bCs/>
          <w:sz w:val="20"/>
          <w:szCs w:val="20"/>
        </w:rPr>
        <w:t>.</w:t>
      </w:r>
      <w:r>
        <w:rPr>
          <w:rFonts w:ascii="Century Schoolbook" w:hAnsi="Century Schoolbook"/>
          <w:b/>
          <w:bCs/>
          <w:sz w:val="20"/>
          <w:szCs w:val="20"/>
        </w:rPr>
        <w:t>3</w:t>
      </w:r>
      <w:r w:rsidRPr="007D72B9">
        <w:rPr>
          <w:rFonts w:ascii="Century Schoolbook" w:hAnsi="Century Schoolbook"/>
          <w:b/>
          <w:bCs/>
          <w:sz w:val="20"/>
          <w:szCs w:val="20"/>
        </w:rPr>
        <w:t xml:space="preserve"> – </w:t>
      </w:r>
      <w:r w:rsidRPr="008526B3">
        <w:rPr>
          <w:rFonts w:ascii="Century Schoolbook" w:hAnsi="Century Schoolbook"/>
          <w:b/>
          <w:bCs/>
          <w:sz w:val="20"/>
          <w:szCs w:val="20"/>
        </w:rPr>
        <w:t xml:space="preserve">  Adiantamento p</w:t>
      </w:r>
      <w:r>
        <w:rPr>
          <w:rFonts w:ascii="Century Schoolbook" w:hAnsi="Century Schoolbook"/>
          <w:b/>
          <w:bCs/>
          <w:sz w:val="20"/>
          <w:szCs w:val="20"/>
        </w:rPr>
        <w:t xml:space="preserve">ara </w:t>
      </w:r>
      <w:r w:rsidRPr="008526B3">
        <w:rPr>
          <w:rFonts w:ascii="Century Schoolbook" w:hAnsi="Century Schoolbook"/>
          <w:b/>
          <w:bCs/>
          <w:sz w:val="20"/>
          <w:szCs w:val="20"/>
        </w:rPr>
        <w:t>Futuro Aumento de Capital</w:t>
      </w:r>
    </w:p>
    <w:p w14:paraId="2B56AB46" w14:textId="77777777" w:rsidR="00D87550" w:rsidRPr="008526B3" w:rsidRDefault="00D87550" w:rsidP="00D87550">
      <w:pPr>
        <w:spacing w:before="120" w:after="120" w:line="360" w:lineRule="auto"/>
        <w:jc w:val="both"/>
        <w:rPr>
          <w:rFonts w:ascii="Century Schoolbook" w:hAnsi="Century Schoolbook"/>
          <w:sz w:val="20"/>
          <w:szCs w:val="20"/>
        </w:rPr>
      </w:pPr>
      <w:r>
        <w:rPr>
          <w:rFonts w:ascii="Century Schoolbook" w:hAnsi="Century Schoolbook"/>
          <w:sz w:val="20"/>
          <w:szCs w:val="20"/>
        </w:rPr>
        <w:t xml:space="preserve">Refere-se aos valores aportados pelo ente controlador na companhia, aumentando-se assim a cotação das ações ordinárias nominativas e preferenciais de sua propriedade. </w:t>
      </w:r>
    </w:p>
    <w:p w14:paraId="36F5664F" w14:textId="77777777" w:rsidR="00D87550" w:rsidRDefault="00D87550" w:rsidP="00D87550">
      <w:pPr>
        <w:spacing w:before="120" w:after="120" w:line="360" w:lineRule="auto"/>
        <w:jc w:val="both"/>
        <w:rPr>
          <w:rFonts w:ascii="Century Schoolbook" w:hAnsi="Century Schoolbook"/>
          <w:b/>
          <w:bCs/>
          <w:sz w:val="20"/>
          <w:szCs w:val="20"/>
        </w:rPr>
      </w:pPr>
    </w:p>
    <w:p w14:paraId="7F62C248"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 xml:space="preserve">NOTA </w:t>
      </w:r>
      <w:r>
        <w:rPr>
          <w:rFonts w:ascii="Century Schoolbook" w:hAnsi="Century Schoolbook"/>
          <w:b/>
          <w:bCs/>
          <w:sz w:val="20"/>
          <w:szCs w:val="20"/>
        </w:rPr>
        <w:t>30</w:t>
      </w:r>
      <w:r w:rsidRPr="007D72B9">
        <w:rPr>
          <w:rFonts w:ascii="Century Schoolbook" w:hAnsi="Century Schoolbook"/>
          <w:b/>
          <w:bCs/>
          <w:sz w:val="20"/>
          <w:szCs w:val="20"/>
        </w:rPr>
        <w:t xml:space="preserve"> – RECEITAS DE ATIVIDADES OPERACIONAIS</w:t>
      </w:r>
    </w:p>
    <w:p w14:paraId="0AC43F58" w14:textId="77777777" w:rsidR="00D87550" w:rsidRDefault="00D87550" w:rsidP="00D87550">
      <w:pPr>
        <w:spacing w:before="120" w:after="120" w:line="360" w:lineRule="auto"/>
        <w:jc w:val="both"/>
        <w:rPr>
          <w:rFonts w:ascii="Century Schoolbook" w:hAnsi="Century Schoolbook"/>
          <w:sz w:val="20"/>
          <w:szCs w:val="20"/>
        </w:rPr>
      </w:pPr>
    </w:p>
    <w:p w14:paraId="25BEB7C3" w14:textId="77777777" w:rsidR="00D87550"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Representativo da arrecadação própria da Maranhão Parcerias oriunda da taxa de gerenciamento de projetos, rendimentos de aplicações no mercado aberto, negociações de unidades habitacionais e terrenos, bem como locação de imóveis de propriedade desta. Há, também, entre as receitas operacionais o resultado auferido em operações de conta alheia, que correspondem a valores inerentes a contratos</w:t>
      </w:r>
      <w:r>
        <w:rPr>
          <w:rFonts w:ascii="Century Schoolbook" w:hAnsi="Century Schoolbook"/>
          <w:sz w:val="20"/>
          <w:szCs w:val="20"/>
        </w:rPr>
        <w:t xml:space="preserve"> firmados entre parceiros público-privados</w:t>
      </w:r>
      <w:r w:rsidRPr="007D72B9">
        <w:rPr>
          <w:rFonts w:ascii="Century Schoolbook" w:hAnsi="Century Schoolbook"/>
          <w:sz w:val="20"/>
          <w:szCs w:val="20"/>
        </w:rPr>
        <w:t xml:space="preserve"> e órgãos da administração direta e indireta do Estado do Maranhão, dos quais a MAPA </w:t>
      </w:r>
      <w:r>
        <w:rPr>
          <w:rFonts w:ascii="Century Schoolbook" w:hAnsi="Century Schoolbook"/>
          <w:sz w:val="20"/>
          <w:szCs w:val="20"/>
        </w:rPr>
        <w:t>figura como intermediadora e</w:t>
      </w:r>
      <w:r w:rsidRPr="007D72B9">
        <w:rPr>
          <w:rFonts w:ascii="Century Schoolbook" w:hAnsi="Century Schoolbook"/>
          <w:sz w:val="20"/>
          <w:szCs w:val="20"/>
        </w:rPr>
        <w:t xml:space="preserve"> responsável pelo gerenciamento</w:t>
      </w:r>
      <w:r>
        <w:rPr>
          <w:rFonts w:ascii="Century Schoolbook" w:hAnsi="Century Schoolbook"/>
          <w:sz w:val="20"/>
          <w:szCs w:val="20"/>
        </w:rPr>
        <w:t xml:space="preserve"> e fiscalização do fiel cumprimento do contrato</w:t>
      </w:r>
      <w:r w:rsidRPr="007D72B9">
        <w:rPr>
          <w:rFonts w:ascii="Century Schoolbook" w:hAnsi="Century Schoolbook"/>
          <w:sz w:val="20"/>
          <w:szCs w:val="20"/>
        </w:rPr>
        <w:t>.</w:t>
      </w:r>
    </w:p>
    <w:tbl>
      <w:tblPr>
        <w:tblStyle w:val="TabelaSimples5"/>
        <w:tblW w:w="5000" w:type="pct"/>
        <w:tblLook w:val="04A0" w:firstRow="1" w:lastRow="0" w:firstColumn="1" w:lastColumn="0" w:noHBand="0" w:noVBand="1"/>
      </w:tblPr>
      <w:tblGrid>
        <w:gridCol w:w="5755"/>
        <w:gridCol w:w="1467"/>
        <w:gridCol w:w="1467"/>
        <w:gridCol w:w="1777"/>
      </w:tblGrid>
      <w:tr w:rsidR="00D87550" w:rsidRPr="00E5326B" w14:paraId="4DE62AF5" w14:textId="77777777" w:rsidTr="006B7A43">
        <w:trPr>
          <w:cnfStyle w:val="100000000000" w:firstRow="1" w:lastRow="0" w:firstColumn="0" w:lastColumn="0" w:oddVBand="0" w:evenVBand="0" w:oddHBand="0" w:evenHBand="0" w:firstRowFirstColumn="0" w:firstRowLastColumn="0" w:lastRowFirstColumn="0" w:lastRowLastColumn="0"/>
          <w:trHeight w:val="264"/>
        </w:trPr>
        <w:tc>
          <w:tcPr>
            <w:cnfStyle w:val="001000000100" w:firstRow="0" w:lastRow="0" w:firstColumn="1" w:lastColumn="0" w:oddVBand="0" w:evenVBand="0" w:oddHBand="0" w:evenHBand="0" w:firstRowFirstColumn="1" w:firstRowLastColumn="0" w:lastRowFirstColumn="0" w:lastRowLastColumn="0"/>
            <w:tcW w:w="2749" w:type="pct"/>
            <w:noWrap/>
            <w:hideMark/>
          </w:tcPr>
          <w:p w14:paraId="209C6E70" w14:textId="77777777" w:rsidR="00D87550" w:rsidRPr="00E5326B" w:rsidRDefault="00D87550" w:rsidP="006B7A43">
            <w:pPr>
              <w:rPr>
                <w:rFonts w:ascii="Century Schoolbook" w:hAnsi="Century Schoolbook" w:cs="Calibri"/>
                <w:b/>
                <w:bCs/>
                <w:color w:val="000000"/>
                <w:kern w:val="0"/>
                <w:sz w:val="20"/>
                <w:szCs w:val="20"/>
                <w:lang w:eastAsia="pt-BR"/>
              </w:rPr>
            </w:pPr>
            <w:r w:rsidRPr="00E5326B">
              <w:rPr>
                <w:rFonts w:ascii="Century Schoolbook" w:hAnsi="Century Schoolbook" w:cs="Calibri"/>
                <w:b/>
                <w:bCs/>
                <w:color w:val="000000"/>
                <w:kern w:val="0"/>
                <w:sz w:val="20"/>
                <w:szCs w:val="20"/>
                <w:lang w:eastAsia="pt-BR"/>
              </w:rPr>
              <w:t>RECEITAS DE ATIVIDADES OPERACIONAIS</w:t>
            </w:r>
          </w:p>
        </w:tc>
        <w:tc>
          <w:tcPr>
            <w:tcW w:w="701" w:type="pct"/>
            <w:noWrap/>
            <w:hideMark/>
          </w:tcPr>
          <w:p w14:paraId="2C4573D0" w14:textId="77777777" w:rsidR="00D87550" w:rsidRPr="00E5326B" w:rsidRDefault="00D87550" w:rsidP="006B7A43">
            <w:pPr>
              <w:jc w:val="center"/>
              <w:cnfStyle w:val="100000000000" w:firstRow="1" w:lastRow="0" w:firstColumn="0" w:lastColumn="0" w:oddVBand="0" w:evenVBand="0" w:oddHBand="0" w:evenHBand="0" w:firstRowFirstColumn="0" w:firstRowLastColumn="0" w:lastRowFirstColumn="0" w:lastRowLastColumn="0"/>
              <w:rPr>
                <w:rFonts w:ascii="Century Schoolbook" w:hAnsi="Century Schoolbook" w:cs="Calibri"/>
                <w:b/>
                <w:bCs/>
                <w:color w:val="000000"/>
                <w:kern w:val="0"/>
                <w:sz w:val="20"/>
                <w:szCs w:val="20"/>
                <w:lang w:eastAsia="pt-BR"/>
              </w:rPr>
            </w:pPr>
            <w:r w:rsidRPr="00E5326B">
              <w:rPr>
                <w:rFonts w:ascii="Century Schoolbook" w:hAnsi="Century Schoolbook" w:cs="Calibri"/>
                <w:b/>
                <w:bCs/>
                <w:color w:val="000000"/>
                <w:kern w:val="0"/>
                <w:sz w:val="20"/>
                <w:szCs w:val="20"/>
                <w:lang w:eastAsia="pt-BR"/>
              </w:rPr>
              <w:t>2024</w:t>
            </w:r>
          </w:p>
        </w:tc>
        <w:tc>
          <w:tcPr>
            <w:tcW w:w="701" w:type="pct"/>
            <w:noWrap/>
            <w:hideMark/>
          </w:tcPr>
          <w:p w14:paraId="7F78C415" w14:textId="77777777" w:rsidR="00D87550" w:rsidRPr="00E5326B" w:rsidRDefault="00D87550" w:rsidP="006B7A43">
            <w:pPr>
              <w:jc w:val="center"/>
              <w:cnfStyle w:val="100000000000" w:firstRow="1" w:lastRow="0" w:firstColumn="0" w:lastColumn="0" w:oddVBand="0" w:evenVBand="0" w:oddHBand="0" w:evenHBand="0" w:firstRowFirstColumn="0" w:firstRowLastColumn="0" w:lastRowFirstColumn="0" w:lastRowLastColumn="0"/>
              <w:rPr>
                <w:rFonts w:ascii="Century Schoolbook" w:hAnsi="Century Schoolbook" w:cs="Calibri"/>
                <w:b/>
                <w:bCs/>
                <w:color w:val="000000"/>
                <w:kern w:val="0"/>
                <w:sz w:val="20"/>
                <w:szCs w:val="20"/>
                <w:lang w:eastAsia="pt-BR"/>
              </w:rPr>
            </w:pPr>
            <w:r w:rsidRPr="00E5326B">
              <w:rPr>
                <w:rFonts w:ascii="Century Schoolbook" w:hAnsi="Century Schoolbook" w:cs="Calibri"/>
                <w:b/>
                <w:bCs/>
                <w:color w:val="000000"/>
                <w:kern w:val="0"/>
                <w:sz w:val="20"/>
                <w:szCs w:val="20"/>
                <w:lang w:eastAsia="pt-BR"/>
              </w:rPr>
              <w:t>2025</w:t>
            </w:r>
          </w:p>
        </w:tc>
        <w:tc>
          <w:tcPr>
            <w:tcW w:w="850" w:type="pct"/>
            <w:noWrap/>
            <w:hideMark/>
          </w:tcPr>
          <w:p w14:paraId="57074B72" w14:textId="77777777" w:rsidR="00D87550" w:rsidRPr="00E5326B" w:rsidRDefault="00D87550" w:rsidP="006B7A43">
            <w:pPr>
              <w:cnfStyle w:val="100000000000" w:firstRow="1" w:lastRow="0" w:firstColumn="0" w:lastColumn="0" w:oddVBand="0" w:evenVBand="0" w:oddHBand="0" w:evenHBand="0" w:firstRowFirstColumn="0" w:firstRowLastColumn="0" w:lastRowFirstColumn="0" w:lastRowLastColumn="0"/>
              <w:rPr>
                <w:rFonts w:ascii="Century Schoolbook" w:hAnsi="Century Schoolbook" w:cs="Calibri"/>
                <w:b/>
                <w:bCs/>
                <w:color w:val="000000"/>
                <w:kern w:val="0"/>
                <w:sz w:val="20"/>
                <w:szCs w:val="20"/>
                <w:lang w:eastAsia="pt-BR"/>
              </w:rPr>
            </w:pPr>
            <w:r w:rsidRPr="00E5326B">
              <w:rPr>
                <w:rFonts w:ascii="Century Schoolbook" w:hAnsi="Century Schoolbook" w:cs="Calibri"/>
                <w:b/>
                <w:bCs/>
                <w:color w:val="000000"/>
                <w:kern w:val="0"/>
                <w:sz w:val="20"/>
                <w:szCs w:val="20"/>
                <w:lang w:eastAsia="pt-BR"/>
              </w:rPr>
              <w:t>VARIAÇÃO (%)</w:t>
            </w:r>
          </w:p>
        </w:tc>
      </w:tr>
      <w:tr w:rsidR="00D87550" w:rsidRPr="00E5326B" w14:paraId="0507034D"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749" w:type="pct"/>
            <w:noWrap/>
            <w:hideMark/>
          </w:tcPr>
          <w:p w14:paraId="120ACAFB" w14:textId="77777777" w:rsidR="00D87550" w:rsidRPr="00E5326B" w:rsidRDefault="00D87550" w:rsidP="006B7A43">
            <w:pPr>
              <w:rPr>
                <w:rFonts w:ascii="Century Schoolbook" w:hAnsi="Century Schoolbook" w:cs="Calibri"/>
                <w:color w:val="000000"/>
                <w:kern w:val="0"/>
                <w:sz w:val="20"/>
                <w:szCs w:val="20"/>
                <w:lang w:eastAsia="pt-BR"/>
              </w:rPr>
            </w:pPr>
            <w:r w:rsidRPr="00E5326B">
              <w:rPr>
                <w:rFonts w:ascii="Century Schoolbook" w:hAnsi="Century Schoolbook" w:cs="Calibri"/>
                <w:color w:val="000000"/>
                <w:kern w:val="0"/>
                <w:sz w:val="20"/>
                <w:szCs w:val="20"/>
                <w:lang w:eastAsia="pt-BR"/>
              </w:rPr>
              <w:t xml:space="preserve"> Receitas na gestão de créditos</w:t>
            </w:r>
          </w:p>
        </w:tc>
        <w:tc>
          <w:tcPr>
            <w:tcW w:w="701" w:type="pct"/>
            <w:noWrap/>
            <w:hideMark/>
          </w:tcPr>
          <w:p w14:paraId="4319A7B8" w14:textId="77777777" w:rsidR="00D87550" w:rsidRPr="00E5326B"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s="Calibri"/>
                <w:color w:val="000000"/>
                <w:kern w:val="0"/>
                <w:sz w:val="20"/>
                <w:szCs w:val="20"/>
                <w:lang w:eastAsia="pt-BR"/>
              </w:rPr>
            </w:pPr>
            <w:r w:rsidRPr="00E5326B">
              <w:rPr>
                <w:rFonts w:ascii="Century Schoolbook" w:hAnsi="Century Schoolbook" w:cs="Calibri"/>
                <w:color w:val="000000"/>
                <w:kern w:val="0"/>
                <w:sz w:val="20"/>
                <w:szCs w:val="20"/>
                <w:lang w:eastAsia="pt-BR"/>
              </w:rPr>
              <w:t>80.436,17</w:t>
            </w:r>
          </w:p>
        </w:tc>
        <w:tc>
          <w:tcPr>
            <w:tcW w:w="701" w:type="pct"/>
            <w:noWrap/>
            <w:hideMark/>
          </w:tcPr>
          <w:p w14:paraId="4A4421F3" w14:textId="77777777" w:rsidR="00D87550" w:rsidRPr="00E5326B"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s="Calibri"/>
                <w:color w:val="000000"/>
                <w:kern w:val="0"/>
                <w:sz w:val="20"/>
                <w:szCs w:val="20"/>
                <w:lang w:eastAsia="pt-BR"/>
              </w:rPr>
            </w:pPr>
            <w:r w:rsidRPr="00E5326B">
              <w:rPr>
                <w:rFonts w:ascii="Century Schoolbook" w:hAnsi="Century Schoolbook" w:cs="Calibri"/>
                <w:color w:val="000000"/>
                <w:kern w:val="0"/>
                <w:sz w:val="20"/>
                <w:szCs w:val="20"/>
                <w:lang w:eastAsia="pt-BR"/>
              </w:rPr>
              <w:t>68.907,01</w:t>
            </w:r>
          </w:p>
        </w:tc>
        <w:tc>
          <w:tcPr>
            <w:tcW w:w="850" w:type="pct"/>
            <w:noWrap/>
            <w:hideMark/>
          </w:tcPr>
          <w:p w14:paraId="32D73488" w14:textId="77777777" w:rsidR="00D87550" w:rsidRPr="00E5326B"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s="Calibri"/>
                <w:color w:val="000000"/>
                <w:kern w:val="0"/>
                <w:sz w:val="20"/>
                <w:szCs w:val="20"/>
                <w:lang w:eastAsia="pt-BR"/>
              </w:rPr>
            </w:pPr>
            <w:r w:rsidRPr="00E5326B">
              <w:rPr>
                <w:rFonts w:ascii="Century Schoolbook" w:hAnsi="Century Schoolbook" w:cs="Calibri"/>
                <w:color w:val="000000"/>
                <w:kern w:val="0"/>
                <w:sz w:val="20"/>
                <w:szCs w:val="20"/>
                <w:lang w:eastAsia="pt-BR"/>
              </w:rPr>
              <w:t>-14%</w:t>
            </w:r>
          </w:p>
        </w:tc>
      </w:tr>
      <w:tr w:rsidR="00D87550" w:rsidRPr="00E5326B" w14:paraId="7EB8AA39"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2749" w:type="pct"/>
            <w:noWrap/>
            <w:hideMark/>
          </w:tcPr>
          <w:p w14:paraId="791655CB" w14:textId="77777777" w:rsidR="00D87550" w:rsidRPr="00E5326B" w:rsidRDefault="00D87550" w:rsidP="006B7A43">
            <w:pPr>
              <w:rPr>
                <w:rFonts w:ascii="Century Schoolbook" w:hAnsi="Century Schoolbook" w:cs="Calibri"/>
                <w:color w:val="000000"/>
                <w:kern w:val="0"/>
                <w:sz w:val="20"/>
                <w:szCs w:val="20"/>
                <w:lang w:eastAsia="pt-BR"/>
              </w:rPr>
            </w:pPr>
            <w:r w:rsidRPr="00E5326B">
              <w:rPr>
                <w:rFonts w:ascii="Century Schoolbook" w:hAnsi="Century Schoolbook" w:cs="Calibri"/>
                <w:color w:val="000000"/>
                <w:kern w:val="0"/>
                <w:sz w:val="20"/>
                <w:szCs w:val="20"/>
                <w:lang w:eastAsia="pt-BR"/>
              </w:rPr>
              <w:t xml:space="preserve"> Receitas de comercialização</w:t>
            </w:r>
          </w:p>
        </w:tc>
        <w:tc>
          <w:tcPr>
            <w:tcW w:w="701" w:type="pct"/>
            <w:noWrap/>
            <w:hideMark/>
          </w:tcPr>
          <w:p w14:paraId="68E64F1F" w14:textId="77777777" w:rsidR="00D87550" w:rsidRPr="00E5326B"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s="Calibri"/>
                <w:color w:val="000000"/>
                <w:kern w:val="0"/>
                <w:sz w:val="20"/>
                <w:szCs w:val="20"/>
                <w:lang w:eastAsia="pt-BR"/>
              </w:rPr>
            </w:pPr>
            <w:r w:rsidRPr="00E5326B">
              <w:rPr>
                <w:rFonts w:ascii="Century Schoolbook" w:hAnsi="Century Schoolbook" w:cs="Calibri"/>
                <w:color w:val="000000"/>
                <w:kern w:val="0"/>
                <w:sz w:val="20"/>
                <w:szCs w:val="20"/>
                <w:lang w:eastAsia="pt-BR"/>
              </w:rPr>
              <w:t>980.905,97</w:t>
            </w:r>
          </w:p>
        </w:tc>
        <w:tc>
          <w:tcPr>
            <w:tcW w:w="701" w:type="pct"/>
            <w:noWrap/>
            <w:hideMark/>
          </w:tcPr>
          <w:p w14:paraId="66763432" w14:textId="77777777" w:rsidR="00D87550" w:rsidRPr="00E5326B"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s="Calibri"/>
                <w:color w:val="000000"/>
                <w:kern w:val="0"/>
                <w:sz w:val="20"/>
                <w:szCs w:val="20"/>
                <w:lang w:eastAsia="pt-BR"/>
              </w:rPr>
            </w:pPr>
            <w:r w:rsidRPr="00E5326B">
              <w:rPr>
                <w:rFonts w:ascii="Century Schoolbook" w:hAnsi="Century Schoolbook" w:cs="Calibri"/>
                <w:color w:val="000000"/>
                <w:kern w:val="0"/>
                <w:sz w:val="20"/>
                <w:szCs w:val="20"/>
                <w:lang w:eastAsia="pt-BR"/>
              </w:rPr>
              <w:t>653.737,93</w:t>
            </w:r>
          </w:p>
        </w:tc>
        <w:tc>
          <w:tcPr>
            <w:tcW w:w="850" w:type="pct"/>
            <w:noWrap/>
            <w:hideMark/>
          </w:tcPr>
          <w:p w14:paraId="5FBD5D7F" w14:textId="77777777" w:rsidR="00D87550" w:rsidRPr="00E5326B"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s="Calibri"/>
                <w:color w:val="000000"/>
                <w:kern w:val="0"/>
                <w:sz w:val="20"/>
                <w:szCs w:val="20"/>
                <w:lang w:eastAsia="pt-BR"/>
              </w:rPr>
            </w:pPr>
            <w:r w:rsidRPr="00E5326B">
              <w:rPr>
                <w:rFonts w:ascii="Century Schoolbook" w:hAnsi="Century Schoolbook" w:cs="Calibri"/>
                <w:color w:val="000000"/>
                <w:kern w:val="0"/>
                <w:sz w:val="20"/>
                <w:szCs w:val="20"/>
                <w:lang w:eastAsia="pt-BR"/>
              </w:rPr>
              <w:t>-33%</w:t>
            </w:r>
          </w:p>
        </w:tc>
      </w:tr>
      <w:tr w:rsidR="00D87550" w:rsidRPr="00E5326B" w14:paraId="27CF3963"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749" w:type="pct"/>
            <w:noWrap/>
            <w:hideMark/>
          </w:tcPr>
          <w:p w14:paraId="0D674BCA" w14:textId="77777777" w:rsidR="00D87550" w:rsidRPr="00E5326B" w:rsidRDefault="00D87550" w:rsidP="006B7A43">
            <w:pPr>
              <w:rPr>
                <w:rFonts w:ascii="Century Schoolbook" w:hAnsi="Century Schoolbook" w:cs="Calibri"/>
                <w:color w:val="000000"/>
                <w:kern w:val="0"/>
                <w:sz w:val="20"/>
                <w:szCs w:val="20"/>
                <w:lang w:eastAsia="pt-BR"/>
              </w:rPr>
            </w:pPr>
            <w:r w:rsidRPr="00E5326B">
              <w:rPr>
                <w:rFonts w:ascii="Century Schoolbook" w:hAnsi="Century Schoolbook" w:cs="Calibri"/>
                <w:color w:val="000000"/>
                <w:kern w:val="0"/>
                <w:sz w:val="20"/>
                <w:szCs w:val="20"/>
                <w:lang w:eastAsia="pt-BR"/>
              </w:rPr>
              <w:t xml:space="preserve"> Receitas de locação</w:t>
            </w:r>
          </w:p>
        </w:tc>
        <w:tc>
          <w:tcPr>
            <w:tcW w:w="701" w:type="pct"/>
            <w:noWrap/>
            <w:hideMark/>
          </w:tcPr>
          <w:p w14:paraId="4ED33A41" w14:textId="77777777" w:rsidR="00D87550" w:rsidRPr="00E5326B"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s="Calibri"/>
                <w:color w:val="000000"/>
                <w:kern w:val="0"/>
                <w:sz w:val="20"/>
                <w:szCs w:val="20"/>
                <w:lang w:eastAsia="pt-BR"/>
              </w:rPr>
            </w:pPr>
            <w:r w:rsidRPr="00E5326B">
              <w:rPr>
                <w:rFonts w:ascii="Century Schoolbook" w:hAnsi="Century Schoolbook" w:cs="Calibri"/>
                <w:color w:val="000000"/>
                <w:kern w:val="0"/>
                <w:sz w:val="20"/>
                <w:szCs w:val="20"/>
                <w:lang w:eastAsia="pt-BR"/>
              </w:rPr>
              <w:t>136.590,70</w:t>
            </w:r>
          </w:p>
        </w:tc>
        <w:tc>
          <w:tcPr>
            <w:tcW w:w="701" w:type="pct"/>
            <w:noWrap/>
            <w:hideMark/>
          </w:tcPr>
          <w:p w14:paraId="186EC075" w14:textId="77777777" w:rsidR="00D87550" w:rsidRPr="00E5326B"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s="Calibri"/>
                <w:color w:val="000000"/>
                <w:kern w:val="0"/>
                <w:sz w:val="20"/>
                <w:szCs w:val="20"/>
                <w:lang w:eastAsia="pt-BR"/>
              </w:rPr>
            </w:pPr>
            <w:r w:rsidRPr="00E5326B">
              <w:rPr>
                <w:rFonts w:ascii="Century Schoolbook" w:hAnsi="Century Schoolbook" w:cs="Calibri"/>
                <w:color w:val="000000"/>
                <w:kern w:val="0"/>
                <w:sz w:val="20"/>
                <w:szCs w:val="20"/>
                <w:lang w:eastAsia="pt-BR"/>
              </w:rPr>
              <w:t>141.050,83</w:t>
            </w:r>
          </w:p>
        </w:tc>
        <w:tc>
          <w:tcPr>
            <w:tcW w:w="850" w:type="pct"/>
            <w:noWrap/>
            <w:hideMark/>
          </w:tcPr>
          <w:p w14:paraId="6BDA111B" w14:textId="77777777" w:rsidR="00D87550" w:rsidRPr="00E5326B"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s="Calibri"/>
                <w:color w:val="000000"/>
                <w:kern w:val="0"/>
                <w:sz w:val="20"/>
                <w:szCs w:val="20"/>
                <w:lang w:eastAsia="pt-BR"/>
              </w:rPr>
            </w:pPr>
            <w:r w:rsidRPr="00E5326B">
              <w:rPr>
                <w:rFonts w:ascii="Century Schoolbook" w:hAnsi="Century Schoolbook" w:cs="Calibri"/>
                <w:color w:val="000000"/>
                <w:kern w:val="0"/>
                <w:sz w:val="20"/>
                <w:szCs w:val="20"/>
                <w:lang w:eastAsia="pt-BR"/>
              </w:rPr>
              <w:t>3%</w:t>
            </w:r>
          </w:p>
        </w:tc>
      </w:tr>
      <w:tr w:rsidR="00D87550" w:rsidRPr="00E5326B" w14:paraId="531B3F50"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2749" w:type="pct"/>
            <w:noWrap/>
            <w:hideMark/>
          </w:tcPr>
          <w:p w14:paraId="53D9591D" w14:textId="77777777" w:rsidR="00D87550" w:rsidRPr="00E5326B" w:rsidRDefault="00D87550" w:rsidP="006B7A43">
            <w:pPr>
              <w:rPr>
                <w:rFonts w:ascii="Century Schoolbook" w:hAnsi="Century Schoolbook" w:cs="Calibri"/>
                <w:color w:val="000000"/>
                <w:kern w:val="0"/>
                <w:sz w:val="20"/>
                <w:szCs w:val="20"/>
                <w:lang w:eastAsia="pt-BR"/>
              </w:rPr>
            </w:pPr>
            <w:r w:rsidRPr="00E5326B">
              <w:rPr>
                <w:rFonts w:ascii="Century Schoolbook" w:hAnsi="Century Schoolbook" w:cs="Calibri"/>
                <w:color w:val="000000"/>
                <w:kern w:val="0"/>
                <w:sz w:val="20"/>
                <w:szCs w:val="20"/>
                <w:lang w:eastAsia="pt-BR"/>
              </w:rPr>
              <w:t xml:space="preserve"> Receitas de intermediação em negócios de terceiros</w:t>
            </w:r>
          </w:p>
        </w:tc>
        <w:tc>
          <w:tcPr>
            <w:tcW w:w="701" w:type="pct"/>
            <w:noWrap/>
            <w:hideMark/>
          </w:tcPr>
          <w:p w14:paraId="543C98AF" w14:textId="77777777" w:rsidR="00D87550" w:rsidRPr="00E5326B"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s="Calibri"/>
                <w:color w:val="000000"/>
                <w:kern w:val="0"/>
                <w:sz w:val="20"/>
                <w:szCs w:val="20"/>
                <w:lang w:eastAsia="pt-BR"/>
              </w:rPr>
            </w:pPr>
            <w:r w:rsidRPr="00E5326B">
              <w:rPr>
                <w:rFonts w:ascii="Century Schoolbook" w:hAnsi="Century Schoolbook" w:cs="Calibri"/>
                <w:color w:val="000000"/>
                <w:kern w:val="0"/>
                <w:sz w:val="20"/>
                <w:szCs w:val="20"/>
                <w:lang w:eastAsia="pt-BR"/>
              </w:rPr>
              <w:t>519.596,21</w:t>
            </w:r>
          </w:p>
        </w:tc>
        <w:tc>
          <w:tcPr>
            <w:tcW w:w="701" w:type="pct"/>
            <w:noWrap/>
            <w:hideMark/>
          </w:tcPr>
          <w:p w14:paraId="33BA41AC" w14:textId="77777777" w:rsidR="00D87550" w:rsidRPr="00E5326B"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s="Calibri"/>
                <w:color w:val="000000"/>
                <w:kern w:val="0"/>
                <w:sz w:val="20"/>
                <w:szCs w:val="20"/>
                <w:lang w:eastAsia="pt-BR"/>
              </w:rPr>
            </w:pPr>
            <w:r w:rsidRPr="00E5326B">
              <w:rPr>
                <w:rFonts w:ascii="Century Schoolbook" w:hAnsi="Century Schoolbook" w:cs="Calibri"/>
                <w:color w:val="000000"/>
                <w:kern w:val="0"/>
                <w:sz w:val="20"/>
                <w:szCs w:val="20"/>
                <w:lang w:eastAsia="pt-BR"/>
              </w:rPr>
              <w:t>579.705,62</w:t>
            </w:r>
          </w:p>
        </w:tc>
        <w:tc>
          <w:tcPr>
            <w:tcW w:w="850" w:type="pct"/>
            <w:noWrap/>
            <w:hideMark/>
          </w:tcPr>
          <w:p w14:paraId="0B7643FF" w14:textId="77777777" w:rsidR="00D87550" w:rsidRPr="00E5326B"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s="Calibri"/>
                <w:color w:val="000000"/>
                <w:kern w:val="0"/>
                <w:sz w:val="20"/>
                <w:szCs w:val="20"/>
                <w:lang w:eastAsia="pt-BR"/>
              </w:rPr>
            </w:pPr>
            <w:r w:rsidRPr="00E5326B">
              <w:rPr>
                <w:rFonts w:ascii="Century Schoolbook" w:hAnsi="Century Schoolbook" w:cs="Calibri"/>
                <w:color w:val="000000"/>
                <w:kern w:val="0"/>
                <w:sz w:val="20"/>
                <w:szCs w:val="20"/>
                <w:lang w:eastAsia="pt-BR"/>
              </w:rPr>
              <w:t>12%</w:t>
            </w:r>
          </w:p>
        </w:tc>
      </w:tr>
      <w:tr w:rsidR="00D87550" w:rsidRPr="00E5326B" w14:paraId="2688432D"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749" w:type="pct"/>
            <w:noWrap/>
            <w:hideMark/>
          </w:tcPr>
          <w:p w14:paraId="5758CA4F" w14:textId="77777777" w:rsidR="00D87550" w:rsidRPr="00E5326B" w:rsidRDefault="00D87550" w:rsidP="006B7A43">
            <w:pPr>
              <w:rPr>
                <w:rFonts w:ascii="Century Schoolbook" w:hAnsi="Century Schoolbook" w:cs="Calibri"/>
                <w:color w:val="000000"/>
                <w:kern w:val="0"/>
                <w:sz w:val="20"/>
                <w:szCs w:val="20"/>
                <w:lang w:eastAsia="pt-BR"/>
              </w:rPr>
            </w:pPr>
            <w:r w:rsidRPr="00E5326B">
              <w:rPr>
                <w:rFonts w:ascii="Century Schoolbook" w:hAnsi="Century Schoolbook" w:cs="Calibri"/>
                <w:color w:val="000000"/>
                <w:kern w:val="0"/>
                <w:sz w:val="20"/>
                <w:szCs w:val="20"/>
                <w:lang w:eastAsia="pt-BR"/>
              </w:rPr>
              <w:t xml:space="preserve"> Receitas vinculadas a projetos de terceiros</w:t>
            </w:r>
          </w:p>
        </w:tc>
        <w:tc>
          <w:tcPr>
            <w:tcW w:w="701" w:type="pct"/>
            <w:noWrap/>
            <w:hideMark/>
          </w:tcPr>
          <w:p w14:paraId="04562845" w14:textId="77777777" w:rsidR="00D87550" w:rsidRPr="00E5326B"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s="Calibri"/>
                <w:color w:val="000000"/>
                <w:kern w:val="0"/>
                <w:sz w:val="20"/>
                <w:szCs w:val="20"/>
                <w:lang w:eastAsia="pt-BR"/>
              </w:rPr>
            </w:pPr>
            <w:r w:rsidRPr="00E5326B">
              <w:rPr>
                <w:rFonts w:ascii="Century Schoolbook" w:hAnsi="Century Schoolbook" w:cs="Calibri"/>
                <w:color w:val="000000"/>
                <w:kern w:val="0"/>
                <w:sz w:val="20"/>
                <w:szCs w:val="20"/>
                <w:lang w:eastAsia="pt-BR"/>
              </w:rPr>
              <w:t>1.716.674,35</w:t>
            </w:r>
          </w:p>
        </w:tc>
        <w:tc>
          <w:tcPr>
            <w:tcW w:w="701" w:type="pct"/>
            <w:noWrap/>
            <w:hideMark/>
          </w:tcPr>
          <w:p w14:paraId="7853A44C" w14:textId="77777777" w:rsidR="00D87550" w:rsidRPr="00E5326B"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s="Calibri"/>
                <w:color w:val="000000"/>
                <w:kern w:val="0"/>
                <w:sz w:val="20"/>
                <w:szCs w:val="20"/>
                <w:lang w:eastAsia="pt-BR"/>
              </w:rPr>
            </w:pPr>
            <w:r w:rsidRPr="00E5326B">
              <w:rPr>
                <w:rFonts w:ascii="Century Schoolbook" w:hAnsi="Century Schoolbook" w:cs="Calibri"/>
                <w:color w:val="000000"/>
                <w:kern w:val="0"/>
                <w:sz w:val="20"/>
                <w:szCs w:val="20"/>
                <w:lang w:eastAsia="pt-BR"/>
              </w:rPr>
              <w:t>6.136.439,28</w:t>
            </w:r>
          </w:p>
        </w:tc>
        <w:tc>
          <w:tcPr>
            <w:tcW w:w="850" w:type="pct"/>
            <w:noWrap/>
            <w:hideMark/>
          </w:tcPr>
          <w:p w14:paraId="3BD2F185" w14:textId="77777777" w:rsidR="00D87550" w:rsidRPr="00E5326B"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s="Calibri"/>
                <w:color w:val="000000"/>
                <w:kern w:val="0"/>
                <w:sz w:val="20"/>
                <w:szCs w:val="20"/>
                <w:lang w:eastAsia="pt-BR"/>
              </w:rPr>
            </w:pPr>
            <w:r w:rsidRPr="00E5326B">
              <w:rPr>
                <w:rFonts w:ascii="Century Schoolbook" w:hAnsi="Century Schoolbook" w:cs="Calibri"/>
                <w:color w:val="000000"/>
                <w:kern w:val="0"/>
                <w:sz w:val="20"/>
                <w:szCs w:val="20"/>
                <w:lang w:eastAsia="pt-BR"/>
              </w:rPr>
              <w:t>257%</w:t>
            </w:r>
          </w:p>
        </w:tc>
      </w:tr>
      <w:tr w:rsidR="00D87550" w:rsidRPr="00E5326B" w14:paraId="516D717D"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2749" w:type="pct"/>
            <w:noWrap/>
            <w:hideMark/>
          </w:tcPr>
          <w:p w14:paraId="5485D03E" w14:textId="77777777" w:rsidR="00D87550" w:rsidRPr="00E5326B" w:rsidRDefault="00D87550" w:rsidP="006B7A43">
            <w:pPr>
              <w:rPr>
                <w:rFonts w:ascii="Century Schoolbook" w:hAnsi="Century Schoolbook" w:cs="Calibri"/>
                <w:color w:val="000000"/>
                <w:kern w:val="0"/>
                <w:sz w:val="20"/>
                <w:szCs w:val="20"/>
                <w:lang w:eastAsia="pt-BR"/>
              </w:rPr>
            </w:pPr>
          </w:p>
        </w:tc>
        <w:tc>
          <w:tcPr>
            <w:tcW w:w="701" w:type="pct"/>
            <w:noWrap/>
            <w:hideMark/>
          </w:tcPr>
          <w:p w14:paraId="2C92AB86" w14:textId="77777777" w:rsidR="00D87550" w:rsidRPr="00E5326B"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s="Calibri"/>
                <w:b/>
                <w:bCs/>
                <w:color w:val="000000"/>
                <w:kern w:val="0"/>
                <w:sz w:val="20"/>
                <w:szCs w:val="20"/>
                <w:lang w:eastAsia="pt-BR"/>
              </w:rPr>
            </w:pPr>
            <w:r w:rsidRPr="00E5326B">
              <w:rPr>
                <w:rFonts w:ascii="Century Schoolbook" w:hAnsi="Century Schoolbook" w:cs="Calibri"/>
                <w:b/>
                <w:bCs/>
                <w:color w:val="000000"/>
                <w:kern w:val="0"/>
                <w:sz w:val="20"/>
                <w:szCs w:val="20"/>
                <w:lang w:eastAsia="pt-BR"/>
              </w:rPr>
              <w:t>3.434.203,40</w:t>
            </w:r>
          </w:p>
        </w:tc>
        <w:tc>
          <w:tcPr>
            <w:tcW w:w="701" w:type="pct"/>
            <w:noWrap/>
            <w:hideMark/>
          </w:tcPr>
          <w:p w14:paraId="11CAF4B8" w14:textId="77777777" w:rsidR="00D87550" w:rsidRPr="00E5326B"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s="Calibri"/>
                <w:b/>
                <w:bCs/>
                <w:color w:val="000000"/>
                <w:kern w:val="0"/>
                <w:sz w:val="20"/>
                <w:szCs w:val="20"/>
                <w:lang w:eastAsia="pt-BR"/>
              </w:rPr>
            </w:pPr>
            <w:r w:rsidRPr="00E5326B">
              <w:rPr>
                <w:rFonts w:ascii="Century Schoolbook" w:hAnsi="Century Schoolbook" w:cs="Calibri"/>
                <w:b/>
                <w:bCs/>
                <w:color w:val="000000"/>
                <w:kern w:val="0"/>
                <w:sz w:val="20"/>
                <w:szCs w:val="20"/>
                <w:lang w:eastAsia="pt-BR"/>
              </w:rPr>
              <w:t>7.579.840,67</w:t>
            </w:r>
          </w:p>
        </w:tc>
        <w:tc>
          <w:tcPr>
            <w:tcW w:w="850" w:type="pct"/>
            <w:noWrap/>
            <w:hideMark/>
          </w:tcPr>
          <w:p w14:paraId="321B03CC" w14:textId="77777777" w:rsidR="00D87550" w:rsidRPr="00E5326B"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s="Calibri"/>
                <w:b/>
                <w:bCs/>
                <w:color w:val="000000"/>
                <w:kern w:val="0"/>
                <w:sz w:val="20"/>
                <w:szCs w:val="20"/>
                <w:lang w:eastAsia="pt-BR"/>
              </w:rPr>
            </w:pPr>
            <w:r w:rsidRPr="00E5326B">
              <w:rPr>
                <w:rFonts w:ascii="Century Schoolbook" w:hAnsi="Century Schoolbook" w:cs="Calibri"/>
                <w:b/>
                <w:bCs/>
                <w:color w:val="000000"/>
                <w:kern w:val="0"/>
                <w:sz w:val="20"/>
                <w:szCs w:val="20"/>
                <w:lang w:eastAsia="pt-BR"/>
              </w:rPr>
              <w:t>121%</w:t>
            </w:r>
          </w:p>
        </w:tc>
      </w:tr>
    </w:tbl>
    <w:p w14:paraId="6EA7B414" w14:textId="77777777" w:rsidR="00D87550" w:rsidRDefault="00D87550" w:rsidP="00D87550">
      <w:pPr>
        <w:spacing w:before="120" w:after="120" w:line="360" w:lineRule="auto"/>
        <w:jc w:val="both"/>
        <w:rPr>
          <w:noProof/>
        </w:rPr>
      </w:pPr>
      <w:r w:rsidRPr="007D72B9">
        <w:rPr>
          <w:rFonts w:ascii="Century Schoolbook" w:hAnsi="Century Schoolbook"/>
          <w:sz w:val="20"/>
          <w:szCs w:val="20"/>
        </w:rPr>
        <w:t xml:space="preserve"> </w:t>
      </w:r>
    </w:p>
    <w:p w14:paraId="32B46425" w14:textId="77777777" w:rsidR="00D87550" w:rsidRPr="007D72B9" w:rsidRDefault="00D87550" w:rsidP="00D87550">
      <w:pPr>
        <w:spacing w:before="120" w:after="120" w:line="360" w:lineRule="auto"/>
        <w:jc w:val="both"/>
        <w:rPr>
          <w:rFonts w:ascii="Century Schoolbook" w:hAnsi="Century Schoolbook"/>
          <w:sz w:val="20"/>
          <w:szCs w:val="20"/>
        </w:rPr>
      </w:pPr>
      <w:r w:rsidRPr="00E9477D">
        <w:rPr>
          <w:noProof/>
          <w:lang w:eastAsia="pt-BR"/>
        </w:rPr>
        <w:drawing>
          <wp:inline distT="0" distB="0" distL="0" distR="0" wp14:anchorId="3F0B7E76" wp14:editId="36FF4531">
            <wp:extent cx="6684645" cy="2744470"/>
            <wp:effectExtent l="0" t="0" r="0" b="0"/>
            <wp:docPr id="3"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D72A31A" w14:textId="77777777" w:rsidR="00D87550" w:rsidRDefault="00D87550" w:rsidP="00D87550">
      <w:pPr>
        <w:rPr>
          <w:rFonts w:ascii="Century Schoolbook" w:hAnsi="Century Schoolbook"/>
          <w:b/>
          <w:bCs/>
          <w:sz w:val="20"/>
          <w:szCs w:val="20"/>
        </w:rPr>
      </w:pPr>
      <w:r>
        <w:rPr>
          <w:rFonts w:ascii="Century Schoolbook" w:hAnsi="Century Schoolbook"/>
          <w:b/>
          <w:bCs/>
          <w:sz w:val="20"/>
          <w:szCs w:val="20"/>
        </w:rPr>
        <w:br w:type="page"/>
      </w:r>
    </w:p>
    <w:p w14:paraId="41E7F71C" w14:textId="77777777" w:rsidR="00D87550" w:rsidRDefault="00D87550" w:rsidP="00D87550">
      <w:pPr>
        <w:spacing w:before="120" w:after="120" w:line="360" w:lineRule="auto"/>
        <w:rPr>
          <w:rFonts w:ascii="Century Schoolbook" w:hAnsi="Century Schoolbook"/>
          <w:b/>
          <w:bCs/>
          <w:sz w:val="20"/>
          <w:szCs w:val="20"/>
        </w:rPr>
      </w:pPr>
      <w:r w:rsidRPr="007D72B9">
        <w:rPr>
          <w:rFonts w:ascii="Century Schoolbook" w:hAnsi="Century Schoolbook"/>
          <w:b/>
          <w:bCs/>
          <w:sz w:val="20"/>
          <w:szCs w:val="20"/>
        </w:rPr>
        <w:lastRenderedPageBreak/>
        <w:t xml:space="preserve">NOTA </w:t>
      </w:r>
      <w:r>
        <w:rPr>
          <w:rFonts w:ascii="Century Schoolbook" w:hAnsi="Century Schoolbook"/>
          <w:b/>
          <w:bCs/>
          <w:sz w:val="20"/>
          <w:szCs w:val="20"/>
        </w:rPr>
        <w:t>31</w:t>
      </w:r>
      <w:r w:rsidRPr="007D72B9">
        <w:rPr>
          <w:rFonts w:ascii="Century Schoolbook" w:hAnsi="Century Schoolbook"/>
          <w:b/>
          <w:bCs/>
          <w:sz w:val="20"/>
          <w:szCs w:val="20"/>
        </w:rPr>
        <w:t xml:space="preserve"> – RESULTADO FINANCEIRO</w:t>
      </w:r>
    </w:p>
    <w:p w14:paraId="7AFFBEC4" w14:textId="77777777" w:rsidR="00D87550" w:rsidRPr="007D72B9" w:rsidRDefault="00D87550" w:rsidP="00D87550">
      <w:pPr>
        <w:spacing w:before="120" w:after="120" w:line="360" w:lineRule="auto"/>
        <w:rPr>
          <w:rFonts w:ascii="Century Schoolbook" w:hAnsi="Century Schoolbook"/>
          <w:b/>
          <w:bCs/>
          <w:sz w:val="20"/>
          <w:szCs w:val="20"/>
        </w:rPr>
      </w:pPr>
    </w:p>
    <w:p w14:paraId="40465DFD" w14:textId="77777777" w:rsidR="00D87550"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O resultado financeiro é resultante do confronto entre as despesas financeiras com as receitas de mesma espécie e se mostra superavitário nos 2 (dois) últimos exercícios.</w:t>
      </w:r>
    </w:p>
    <w:p w14:paraId="66908541" w14:textId="77777777" w:rsidR="00D87550" w:rsidRPr="007D72B9" w:rsidRDefault="00D87550" w:rsidP="00D87550">
      <w:pPr>
        <w:spacing w:before="120" w:after="120" w:line="360" w:lineRule="auto"/>
        <w:jc w:val="both"/>
        <w:rPr>
          <w:rFonts w:ascii="Century Schoolbook" w:hAnsi="Century Schoolbook"/>
          <w:sz w:val="20"/>
          <w:szCs w:val="20"/>
        </w:rPr>
      </w:pPr>
    </w:p>
    <w:tbl>
      <w:tblPr>
        <w:tblStyle w:val="TabelaSimples5"/>
        <w:tblW w:w="5000" w:type="pct"/>
        <w:tblLook w:val="04A0" w:firstRow="1" w:lastRow="0" w:firstColumn="1" w:lastColumn="0" w:noHBand="0" w:noVBand="1"/>
      </w:tblPr>
      <w:tblGrid>
        <w:gridCol w:w="6450"/>
        <w:gridCol w:w="2009"/>
        <w:gridCol w:w="2007"/>
      </w:tblGrid>
      <w:tr w:rsidR="00D87550" w:rsidRPr="007D72B9" w14:paraId="6624568C" w14:textId="77777777" w:rsidTr="006B7A43">
        <w:trPr>
          <w:cnfStyle w:val="100000000000" w:firstRow="1" w:lastRow="0" w:firstColumn="0" w:lastColumn="0" w:oddVBand="0" w:evenVBand="0" w:oddHBand="0" w:evenHBand="0" w:firstRowFirstColumn="0" w:firstRowLastColumn="0" w:lastRowFirstColumn="0" w:lastRowLastColumn="0"/>
          <w:trHeight w:val="264"/>
        </w:trPr>
        <w:tc>
          <w:tcPr>
            <w:cnfStyle w:val="001000000100" w:firstRow="0" w:lastRow="0" w:firstColumn="1" w:lastColumn="0" w:oddVBand="0" w:evenVBand="0" w:oddHBand="0" w:evenHBand="0" w:firstRowFirstColumn="1" w:firstRowLastColumn="0" w:lastRowFirstColumn="0" w:lastRowLastColumn="0"/>
            <w:tcW w:w="3081" w:type="pct"/>
            <w:noWrap/>
            <w:vAlign w:val="center"/>
            <w:hideMark/>
          </w:tcPr>
          <w:p w14:paraId="5155005B" w14:textId="77777777" w:rsidR="00D87550" w:rsidRPr="007D72B9" w:rsidRDefault="00D87550" w:rsidP="006B7A43">
            <w:pPr>
              <w:rPr>
                <w:rFonts w:ascii="Century Schoolbook" w:hAnsi="Century Schoolbook" w:cs="Calibri"/>
                <w:b/>
                <w:bCs/>
                <w:color w:val="000000"/>
                <w:kern w:val="0"/>
                <w:sz w:val="20"/>
                <w:szCs w:val="20"/>
                <w:lang w:eastAsia="pt-BR"/>
              </w:rPr>
            </w:pPr>
            <w:r w:rsidRPr="007D72B9">
              <w:rPr>
                <w:rFonts w:ascii="Century Schoolbook" w:hAnsi="Century Schoolbook" w:cs="Calibri"/>
                <w:b/>
                <w:bCs/>
                <w:color w:val="000000"/>
                <w:kern w:val="0"/>
                <w:sz w:val="20"/>
                <w:szCs w:val="20"/>
                <w:lang w:eastAsia="pt-BR"/>
              </w:rPr>
              <w:t>RESULTADO FINANCEIRO LÍQUIDO</w:t>
            </w:r>
          </w:p>
        </w:tc>
        <w:tc>
          <w:tcPr>
            <w:tcW w:w="960" w:type="pct"/>
            <w:noWrap/>
            <w:vAlign w:val="center"/>
          </w:tcPr>
          <w:p w14:paraId="44FB728F" w14:textId="77777777" w:rsidR="00D87550" w:rsidRPr="007D72B9" w:rsidRDefault="00D87550" w:rsidP="006B7A43">
            <w:pPr>
              <w:jc w:val="center"/>
              <w:cnfStyle w:val="100000000000" w:firstRow="1" w:lastRow="0" w:firstColumn="0" w:lastColumn="0" w:oddVBand="0" w:evenVBand="0" w:oddHBand="0" w:evenHBand="0" w:firstRowFirstColumn="0" w:firstRowLastColumn="0" w:lastRowFirstColumn="0" w:lastRowLastColumn="0"/>
              <w:rPr>
                <w:rFonts w:ascii="Century Schoolbook" w:hAnsi="Century Schoolbook" w:cs="Calibri"/>
                <w:b/>
                <w:bCs/>
                <w:color w:val="000000"/>
                <w:kern w:val="0"/>
                <w:sz w:val="20"/>
                <w:szCs w:val="20"/>
                <w:lang w:eastAsia="pt-BR"/>
              </w:rPr>
            </w:pPr>
            <w:r w:rsidRPr="007D72B9">
              <w:rPr>
                <w:rFonts w:ascii="Century Schoolbook" w:hAnsi="Century Schoolbook" w:cs="Calibri"/>
                <w:b/>
                <w:bCs/>
                <w:color w:val="000000"/>
                <w:kern w:val="0"/>
                <w:sz w:val="20"/>
                <w:szCs w:val="20"/>
                <w:lang w:eastAsia="pt-BR"/>
              </w:rPr>
              <w:t>2024</w:t>
            </w:r>
          </w:p>
        </w:tc>
        <w:tc>
          <w:tcPr>
            <w:tcW w:w="959" w:type="pct"/>
          </w:tcPr>
          <w:p w14:paraId="7D66A712" w14:textId="77777777" w:rsidR="00D87550" w:rsidRPr="007D72B9" w:rsidRDefault="00D87550" w:rsidP="006B7A43">
            <w:pPr>
              <w:jc w:val="center"/>
              <w:cnfStyle w:val="100000000000" w:firstRow="1" w:lastRow="0" w:firstColumn="0" w:lastColumn="0" w:oddVBand="0" w:evenVBand="0" w:oddHBand="0" w:evenHBand="0" w:firstRowFirstColumn="0" w:firstRowLastColumn="0" w:lastRowFirstColumn="0" w:lastRowLastColumn="0"/>
              <w:rPr>
                <w:rFonts w:ascii="Century Schoolbook" w:hAnsi="Century Schoolbook" w:cs="Calibri"/>
                <w:b/>
                <w:bCs/>
                <w:color w:val="000000"/>
                <w:kern w:val="0"/>
                <w:sz w:val="20"/>
                <w:szCs w:val="20"/>
                <w:lang w:eastAsia="pt-BR"/>
              </w:rPr>
            </w:pPr>
            <w:r>
              <w:rPr>
                <w:rFonts w:ascii="Century Schoolbook" w:hAnsi="Century Schoolbook" w:cs="Calibri"/>
                <w:b/>
                <w:bCs/>
                <w:color w:val="000000"/>
                <w:kern w:val="0"/>
                <w:sz w:val="20"/>
                <w:szCs w:val="20"/>
                <w:lang w:eastAsia="pt-BR"/>
              </w:rPr>
              <w:t>2025</w:t>
            </w:r>
          </w:p>
        </w:tc>
      </w:tr>
      <w:tr w:rsidR="00D87550" w:rsidRPr="007D72B9" w14:paraId="1377D599"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081" w:type="pct"/>
            <w:noWrap/>
            <w:vAlign w:val="center"/>
            <w:hideMark/>
          </w:tcPr>
          <w:p w14:paraId="1B192030" w14:textId="77777777" w:rsidR="00D87550" w:rsidRPr="007D72B9" w:rsidRDefault="00D87550" w:rsidP="006B7A43">
            <w:pPr>
              <w:rPr>
                <w:rFonts w:ascii="Century Schoolbook" w:hAnsi="Century Schoolbook" w:cs="Calibri"/>
                <w:color w:val="000000"/>
                <w:kern w:val="0"/>
                <w:sz w:val="20"/>
                <w:szCs w:val="20"/>
                <w:lang w:eastAsia="pt-BR"/>
              </w:rPr>
            </w:pPr>
            <w:r w:rsidRPr="007D72B9">
              <w:rPr>
                <w:rFonts w:ascii="Century Schoolbook" w:hAnsi="Century Schoolbook" w:cs="Calibri"/>
                <w:color w:val="000000"/>
                <w:kern w:val="0"/>
                <w:sz w:val="20"/>
                <w:szCs w:val="20"/>
                <w:lang w:eastAsia="pt-BR"/>
              </w:rPr>
              <w:t xml:space="preserve"> Receitas financeiras</w:t>
            </w:r>
          </w:p>
        </w:tc>
        <w:tc>
          <w:tcPr>
            <w:tcW w:w="960" w:type="pct"/>
            <w:noWrap/>
            <w:vAlign w:val="center"/>
            <w:hideMark/>
          </w:tcPr>
          <w:p w14:paraId="2DF4976C" w14:textId="77777777" w:rsidR="00D87550" w:rsidRPr="007D72B9"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s="Calibri"/>
                <w:i/>
                <w:iCs/>
                <w:color w:val="000000"/>
                <w:kern w:val="0"/>
                <w:sz w:val="20"/>
                <w:szCs w:val="20"/>
                <w:lang w:eastAsia="pt-BR"/>
              </w:rPr>
            </w:pPr>
            <w:r w:rsidRPr="007D72B9">
              <w:rPr>
                <w:rFonts w:ascii="Century Schoolbook" w:hAnsi="Century Schoolbook" w:cs="Calibri"/>
                <w:i/>
                <w:iCs/>
                <w:color w:val="000000"/>
                <w:kern w:val="0"/>
                <w:sz w:val="20"/>
                <w:szCs w:val="20"/>
                <w:lang w:eastAsia="pt-BR"/>
              </w:rPr>
              <w:t xml:space="preserve">1.658.217 </w:t>
            </w:r>
          </w:p>
        </w:tc>
        <w:tc>
          <w:tcPr>
            <w:tcW w:w="959" w:type="pct"/>
          </w:tcPr>
          <w:p w14:paraId="1B61D6BD" w14:textId="77777777" w:rsidR="00D87550" w:rsidRPr="007D72B9"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s="Calibri"/>
                <w:i/>
                <w:iCs/>
                <w:color w:val="000000"/>
                <w:kern w:val="0"/>
                <w:sz w:val="20"/>
                <w:szCs w:val="20"/>
                <w:lang w:eastAsia="pt-BR"/>
              </w:rPr>
            </w:pPr>
            <w:r w:rsidRPr="004264D4">
              <w:rPr>
                <w:rFonts w:ascii="Century Schoolbook" w:hAnsi="Century Schoolbook" w:cs="Calibri"/>
                <w:i/>
                <w:iCs/>
                <w:color w:val="000000"/>
                <w:kern w:val="0"/>
                <w:sz w:val="20"/>
                <w:szCs w:val="20"/>
                <w:lang w:eastAsia="pt-BR"/>
              </w:rPr>
              <w:t>2</w:t>
            </w:r>
            <w:r>
              <w:rPr>
                <w:rFonts w:ascii="Century Schoolbook" w:hAnsi="Century Schoolbook" w:cs="Calibri"/>
                <w:i/>
                <w:iCs/>
                <w:color w:val="000000"/>
                <w:kern w:val="0"/>
                <w:sz w:val="20"/>
                <w:szCs w:val="20"/>
                <w:lang w:eastAsia="pt-BR"/>
              </w:rPr>
              <w:t>.</w:t>
            </w:r>
            <w:r w:rsidRPr="004264D4">
              <w:rPr>
                <w:rFonts w:ascii="Century Schoolbook" w:hAnsi="Century Schoolbook" w:cs="Calibri"/>
                <w:i/>
                <w:iCs/>
                <w:color w:val="000000"/>
                <w:kern w:val="0"/>
                <w:sz w:val="20"/>
                <w:szCs w:val="20"/>
                <w:lang w:eastAsia="pt-BR"/>
              </w:rPr>
              <w:t>460</w:t>
            </w:r>
            <w:r>
              <w:rPr>
                <w:rFonts w:ascii="Century Schoolbook" w:hAnsi="Century Schoolbook" w:cs="Calibri"/>
                <w:i/>
                <w:iCs/>
                <w:color w:val="000000"/>
                <w:kern w:val="0"/>
                <w:sz w:val="20"/>
                <w:szCs w:val="20"/>
                <w:lang w:eastAsia="pt-BR"/>
              </w:rPr>
              <w:t>.</w:t>
            </w:r>
            <w:r w:rsidRPr="004264D4">
              <w:rPr>
                <w:rFonts w:ascii="Century Schoolbook" w:hAnsi="Century Schoolbook" w:cs="Calibri"/>
                <w:i/>
                <w:iCs/>
                <w:color w:val="000000"/>
                <w:kern w:val="0"/>
                <w:sz w:val="20"/>
                <w:szCs w:val="20"/>
                <w:lang w:eastAsia="pt-BR"/>
              </w:rPr>
              <w:t>275</w:t>
            </w:r>
          </w:p>
        </w:tc>
      </w:tr>
      <w:tr w:rsidR="00D87550" w:rsidRPr="007D72B9" w14:paraId="1B4F4911" w14:textId="77777777" w:rsidTr="006B7A43">
        <w:trPr>
          <w:trHeight w:val="264"/>
        </w:trPr>
        <w:tc>
          <w:tcPr>
            <w:cnfStyle w:val="001000000000" w:firstRow="0" w:lastRow="0" w:firstColumn="1" w:lastColumn="0" w:oddVBand="0" w:evenVBand="0" w:oddHBand="0" w:evenHBand="0" w:firstRowFirstColumn="0" w:firstRowLastColumn="0" w:lastRowFirstColumn="0" w:lastRowLastColumn="0"/>
            <w:tcW w:w="3081" w:type="pct"/>
            <w:noWrap/>
            <w:vAlign w:val="center"/>
            <w:hideMark/>
          </w:tcPr>
          <w:p w14:paraId="774A0640" w14:textId="77777777" w:rsidR="00D87550" w:rsidRPr="007D72B9" w:rsidRDefault="00D87550" w:rsidP="006B7A43">
            <w:pPr>
              <w:rPr>
                <w:rFonts w:ascii="Century Schoolbook" w:hAnsi="Century Schoolbook" w:cs="Calibri"/>
                <w:color w:val="000000"/>
                <w:kern w:val="0"/>
                <w:sz w:val="20"/>
                <w:szCs w:val="20"/>
                <w:lang w:eastAsia="pt-BR"/>
              </w:rPr>
            </w:pPr>
            <w:r w:rsidRPr="007D72B9">
              <w:rPr>
                <w:rFonts w:ascii="Century Schoolbook" w:hAnsi="Century Schoolbook" w:cs="Calibri"/>
                <w:color w:val="000000"/>
                <w:kern w:val="0"/>
                <w:sz w:val="20"/>
                <w:szCs w:val="20"/>
                <w:lang w:eastAsia="pt-BR"/>
              </w:rPr>
              <w:t xml:space="preserve"> (-) Despesas financeiras</w:t>
            </w:r>
          </w:p>
        </w:tc>
        <w:tc>
          <w:tcPr>
            <w:tcW w:w="960" w:type="pct"/>
            <w:noWrap/>
            <w:vAlign w:val="center"/>
            <w:hideMark/>
          </w:tcPr>
          <w:p w14:paraId="6DDEC3E0" w14:textId="77777777" w:rsidR="00D87550" w:rsidRPr="007D72B9"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s="Calibri"/>
                <w:i/>
                <w:iCs/>
                <w:color w:val="000000"/>
                <w:kern w:val="0"/>
                <w:sz w:val="20"/>
                <w:szCs w:val="20"/>
                <w:lang w:eastAsia="pt-BR"/>
              </w:rPr>
            </w:pPr>
            <w:r w:rsidRPr="007D72B9">
              <w:rPr>
                <w:rFonts w:ascii="Century Schoolbook" w:hAnsi="Century Schoolbook" w:cs="Calibri"/>
                <w:i/>
                <w:iCs/>
                <w:color w:val="000000"/>
                <w:kern w:val="0"/>
                <w:sz w:val="20"/>
                <w:szCs w:val="20"/>
                <w:lang w:eastAsia="pt-BR"/>
              </w:rPr>
              <w:t xml:space="preserve">413.862 </w:t>
            </w:r>
          </w:p>
        </w:tc>
        <w:tc>
          <w:tcPr>
            <w:tcW w:w="959" w:type="pct"/>
          </w:tcPr>
          <w:p w14:paraId="160D67AE" w14:textId="77777777" w:rsidR="00D87550" w:rsidRPr="007D72B9" w:rsidRDefault="00D87550" w:rsidP="006B7A43">
            <w:pPr>
              <w:jc w:val="right"/>
              <w:cnfStyle w:val="000000000000" w:firstRow="0" w:lastRow="0" w:firstColumn="0" w:lastColumn="0" w:oddVBand="0" w:evenVBand="0" w:oddHBand="0" w:evenHBand="0" w:firstRowFirstColumn="0" w:firstRowLastColumn="0" w:lastRowFirstColumn="0" w:lastRowLastColumn="0"/>
              <w:rPr>
                <w:rFonts w:ascii="Century Schoolbook" w:hAnsi="Century Schoolbook" w:cs="Calibri"/>
                <w:i/>
                <w:iCs/>
                <w:color w:val="000000"/>
                <w:kern w:val="0"/>
                <w:sz w:val="20"/>
                <w:szCs w:val="20"/>
                <w:lang w:eastAsia="pt-BR"/>
              </w:rPr>
            </w:pPr>
            <w:r w:rsidRPr="004264D4">
              <w:rPr>
                <w:rFonts w:ascii="Century Schoolbook" w:hAnsi="Century Schoolbook" w:cs="Calibri"/>
                <w:i/>
                <w:iCs/>
                <w:color w:val="000000"/>
                <w:kern w:val="0"/>
                <w:sz w:val="20"/>
                <w:szCs w:val="20"/>
                <w:lang w:eastAsia="pt-BR"/>
              </w:rPr>
              <w:t>76</w:t>
            </w:r>
            <w:r>
              <w:rPr>
                <w:rFonts w:ascii="Century Schoolbook" w:hAnsi="Century Schoolbook" w:cs="Calibri"/>
                <w:i/>
                <w:iCs/>
                <w:color w:val="000000"/>
                <w:kern w:val="0"/>
                <w:sz w:val="20"/>
                <w:szCs w:val="20"/>
                <w:lang w:eastAsia="pt-BR"/>
              </w:rPr>
              <w:t>.</w:t>
            </w:r>
            <w:r w:rsidRPr="004264D4">
              <w:rPr>
                <w:rFonts w:ascii="Century Schoolbook" w:hAnsi="Century Schoolbook" w:cs="Calibri"/>
                <w:i/>
                <w:iCs/>
                <w:color w:val="000000"/>
                <w:kern w:val="0"/>
                <w:sz w:val="20"/>
                <w:szCs w:val="20"/>
                <w:lang w:eastAsia="pt-BR"/>
              </w:rPr>
              <w:t>81</w:t>
            </w:r>
            <w:r>
              <w:rPr>
                <w:rFonts w:ascii="Century Schoolbook" w:hAnsi="Century Schoolbook" w:cs="Calibri"/>
                <w:i/>
                <w:iCs/>
                <w:color w:val="000000"/>
                <w:kern w:val="0"/>
                <w:sz w:val="20"/>
                <w:szCs w:val="20"/>
                <w:lang w:eastAsia="pt-BR"/>
              </w:rPr>
              <w:t>6</w:t>
            </w:r>
          </w:p>
        </w:tc>
      </w:tr>
      <w:tr w:rsidR="00D87550" w:rsidRPr="007D72B9" w14:paraId="6B002A82" w14:textId="77777777" w:rsidTr="006B7A4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081" w:type="pct"/>
            <w:noWrap/>
          </w:tcPr>
          <w:p w14:paraId="4BB2D642" w14:textId="77777777" w:rsidR="00D87550" w:rsidRPr="007D72B9" w:rsidRDefault="00D87550" w:rsidP="006B7A43">
            <w:pPr>
              <w:rPr>
                <w:rFonts w:ascii="Century Schoolbook" w:hAnsi="Century Schoolbook" w:cs="Calibri"/>
                <w:i w:val="0"/>
                <w:iCs w:val="0"/>
                <w:color w:val="000000"/>
                <w:kern w:val="0"/>
                <w:sz w:val="20"/>
                <w:szCs w:val="20"/>
                <w:lang w:eastAsia="pt-BR"/>
              </w:rPr>
            </w:pPr>
          </w:p>
        </w:tc>
        <w:tc>
          <w:tcPr>
            <w:tcW w:w="960" w:type="pct"/>
            <w:noWrap/>
            <w:vAlign w:val="center"/>
          </w:tcPr>
          <w:p w14:paraId="26D28DF3" w14:textId="77777777" w:rsidR="00D87550" w:rsidRPr="007D72B9"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s="Calibri"/>
                <w:i/>
                <w:iCs/>
                <w:color w:val="000000"/>
                <w:kern w:val="0"/>
                <w:sz w:val="20"/>
                <w:szCs w:val="20"/>
                <w:lang w:eastAsia="pt-BR"/>
              </w:rPr>
            </w:pPr>
            <w:r w:rsidRPr="007D72B9">
              <w:rPr>
                <w:rFonts w:ascii="Century Schoolbook" w:hAnsi="Century Schoolbook" w:cs="Calibri"/>
                <w:b/>
                <w:bCs/>
                <w:i/>
                <w:iCs/>
                <w:color w:val="000000"/>
                <w:kern w:val="0"/>
                <w:sz w:val="20"/>
                <w:szCs w:val="20"/>
                <w:lang w:eastAsia="pt-BR"/>
              </w:rPr>
              <w:t xml:space="preserve">1.244.355 </w:t>
            </w:r>
          </w:p>
        </w:tc>
        <w:tc>
          <w:tcPr>
            <w:tcW w:w="959" w:type="pct"/>
          </w:tcPr>
          <w:p w14:paraId="769C734C" w14:textId="77777777" w:rsidR="00D87550" w:rsidRPr="007D72B9" w:rsidRDefault="00D87550" w:rsidP="006B7A43">
            <w:pPr>
              <w:jc w:val="right"/>
              <w:cnfStyle w:val="000000100000" w:firstRow="0" w:lastRow="0" w:firstColumn="0" w:lastColumn="0" w:oddVBand="0" w:evenVBand="0" w:oddHBand="1" w:evenHBand="0" w:firstRowFirstColumn="0" w:firstRowLastColumn="0" w:lastRowFirstColumn="0" w:lastRowLastColumn="0"/>
              <w:rPr>
                <w:rFonts w:ascii="Century Schoolbook" w:hAnsi="Century Schoolbook" w:cs="Calibri"/>
                <w:b/>
                <w:bCs/>
                <w:i/>
                <w:iCs/>
                <w:color w:val="000000"/>
                <w:kern w:val="0"/>
                <w:sz w:val="20"/>
                <w:szCs w:val="20"/>
                <w:lang w:eastAsia="pt-BR"/>
              </w:rPr>
            </w:pPr>
            <w:r>
              <w:rPr>
                <w:rFonts w:ascii="Century Schoolbook" w:hAnsi="Century Schoolbook" w:cs="Calibri"/>
                <w:b/>
                <w:bCs/>
                <w:i/>
                <w:iCs/>
                <w:color w:val="000000"/>
                <w:kern w:val="0"/>
                <w:sz w:val="20"/>
                <w:szCs w:val="20"/>
                <w:lang w:eastAsia="pt-BR"/>
              </w:rPr>
              <w:t>2.383.459</w:t>
            </w:r>
          </w:p>
        </w:tc>
      </w:tr>
    </w:tbl>
    <w:p w14:paraId="006BBFD5" w14:textId="77777777" w:rsidR="00D87550" w:rsidRDefault="00D87550" w:rsidP="00D87550">
      <w:pPr>
        <w:spacing w:before="120" w:after="120" w:line="360" w:lineRule="auto"/>
        <w:jc w:val="both"/>
        <w:rPr>
          <w:rFonts w:ascii="Century Schoolbook" w:hAnsi="Century Schoolbook"/>
          <w:b/>
          <w:bCs/>
          <w:sz w:val="20"/>
          <w:szCs w:val="20"/>
        </w:rPr>
      </w:pPr>
    </w:p>
    <w:p w14:paraId="40AAF292" w14:textId="77777777" w:rsidR="00D87550" w:rsidRPr="007D72B9" w:rsidRDefault="00D87550" w:rsidP="00D87550">
      <w:pPr>
        <w:spacing w:before="120" w:after="120" w:line="360" w:lineRule="auto"/>
        <w:jc w:val="both"/>
        <w:rPr>
          <w:rFonts w:ascii="Century Schoolbook" w:hAnsi="Century Schoolbook"/>
          <w:b/>
          <w:bCs/>
          <w:sz w:val="20"/>
          <w:szCs w:val="20"/>
        </w:rPr>
      </w:pPr>
      <w:r w:rsidRPr="007D72B9">
        <w:rPr>
          <w:rFonts w:ascii="Century Schoolbook" w:hAnsi="Century Schoolbook"/>
          <w:b/>
          <w:bCs/>
          <w:sz w:val="20"/>
          <w:szCs w:val="20"/>
        </w:rPr>
        <w:t>NOTA 29 – DESPESAS GERAIS E ADMINISTRATIVAS</w:t>
      </w:r>
    </w:p>
    <w:p w14:paraId="79289A9C" w14:textId="77777777" w:rsidR="00D87550" w:rsidRDefault="00D87550" w:rsidP="00D87550">
      <w:pPr>
        <w:spacing w:before="120" w:after="120" w:line="360" w:lineRule="auto"/>
        <w:jc w:val="both"/>
        <w:rPr>
          <w:rFonts w:ascii="Century Schoolbook" w:hAnsi="Century Schoolbook"/>
          <w:sz w:val="20"/>
          <w:szCs w:val="20"/>
        </w:rPr>
      </w:pPr>
    </w:p>
    <w:p w14:paraId="25C05A98" w14:textId="77777777" w:rsidR="00D87550"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sz w:val="20"/>
          <w:szCs w:val="20"/>
        </w:rPr>
        <w:t xml:space="preserve">A companhia incorreu em despesas operacionais no valor de R$ </w:t>
      </w:r>
      <w:r>
        <w:rPr>
          <w:rFonts w:ascii="Century Schoolbook" w:hAnsi="Century Schoolbook"/>
          <w:sz w:val="20"/>
          <w:szCs w:val="20"/>
        </w:rPr>
        <w:t>68.343.486,93</w:t>
      </w:r>
      <w:r w:rsidRPr="007D72B9">
        <w:rPr>
          <w:rFonts w:ascii="Century Schoolbook" w:hAnsi="Century Schoolbook"/>
          <w:sz w:val="20"/>
          <w:szCs w:val="20"/>
        </w:rPr>
        <w:t xml:space="preserve"> (sessenta e </w:t>
      </w:r>
      <w:r>
        <w:rPr>
          <w:rFonts w:ascii="Century Schoolbook" w:hAnsi="Century Schoolbook"/>
          <w:sz w:val="20"/>
          <w:szCs w:val="20"/>
        </w:rPr>
        <w:t>oito</w:t>
      </w:r>
      <w:r w:rsidRPr="007D72B9">
        <w:rPr>
          <w:rFonts w:ascii="Century Schoolbook" w:hAnsi="Century Schoolbook"/>
          <w:sz w:val="20"/>
          <w:szCs w:val="20"/>
        </w:rPr>
        <w:t xml:space="preserve"> milhões, </w:t>
      </w:r>
      <w:r>
        <w:rPr>
          <w:rFonts w:ascii="Century Schoolbook" w:hAnsi="Century Schoolbook"/>
          <w:sz w:val="20"/>
          <w:szCs w:val="20"/>
        </w:rPr>
        <w:t>trezentos</w:t>
      </w:r>
      <w:r w:rsidRPr="007D72B9">
        <w:rPr>
          <w:rFonts w:ascii="Century Schoolbook" w:hAnsi="Century Schoolbook"/>
          <w:sz w:val="20"/>
          <w:szCs w:val="20"/>
        </w:rPr>
        <w:t xml:space="preserve"> </w:t>
      </w:r>
      <w:r>
        <w:rPr>
          <w:rFonts w:ascii="Century Schoolbook" w:hAnsi="Century Schoolbook"/>
          <w:sz w:val="20"/>
          <w:szCs w:val="20"/>
        </w:rPr>
        <w:t xml:space="preserve">quarenta </w:t>
      </w:r>
      <w:r w:rsidRPr="007D72B9">
        <w:rPr>
          <w:rFonts w:ascii="Century Schoolbook" w:hAnsi="Century Schoolbook"/>
          <w:sz w:val="20"/>
          <w:szCs w:val="20"/>
        </w:rPr>
        <w:t xml:space="preserve">e três mil, </w:t>
      </w:r>
      <w:r>
        <w:rPr>
          <w:rFonts w:ascii="Century Schoolbook" w:hAnsi="Century Schoolbook"/>
          <w:sz w:val="20"/>
          <w:szCs w:val="20"/>
        </w:rPr>
        <w:t>quatroc</w:t>
      </w:r>
      <w:r w:rsidRPr="007D72B9">
        <w:rPr>
          <w:rFonts w:ascii="Century Schoolbook" w:hAnsi="Century Schoolbook"/>
          <w:sz w:val="20"/>
          <w:szCs w:val="20"/>
        </w:rPr>
        <w:t xml:space="preserve">entos e </w:t>
      </w:r>
      <w:r>
        <w:rPr>
          <w:rFonts w:ascii="Century Schoolbook" w:hAnsi="Century Schoolbook"/>
          <w:sz w:val="20"/>
          <w:szCs w:val="20"/>
        </w:rPr>
        <w:t>oitenta e seis</w:t>
      </w:r>
      <w:r w:rsidRPr="007D72B9">
        <w:rPr>
          <w:rFonts w:ascii="Century Schoolbook" w:hAnsi="Century Schoolbook"/>
          <w:sz w:val="20"/>
          <w:szCs w:val="20"/>
        </w:rPr>
        <w:t xml:space="preserve"> reais e </w:t>
      </w:r>
      <w:r>
        <w:rPr>
          <w:rFonts w:ascii="Century Schoolbook" w:hAnsi="Century Schoolbook"/>
          <w:sz w:val="20"/>
          <w:szCs w:val="20"/>
        </w:rPr>
        <w:t>noventa</w:t>
      </w:r>
      <w:r w:rsidRPr="007D72B9">
        <w:rPr>
          <w:rFonts w:ascii="Century Schoolbook" w:hAnsi="Century Schoolbook"/>
          <w:sz w:val="20"/>
          <w:szCs w:val="20"/>
        </w:rPr>
        <w:t xml:space="preserve"> e </w:t>
      </w:r>
      <w:r>
        <w:rPr>
          <w:rFonts w:ascii="Century Schoolbook" w:hAnsi="Century Schoolbook"/>
          <w:sz w:val="20"/>
          <w:szCs w:val="20"/>
        </w:rPr>
        <w:t>três</w:t>
      </w:r>
      <w:r w:rsidRPr="007D72B9">
        <w:rPr>
          <w:rFonts w:ascii="Century Schoolbook" w:hAnsi="Century Schoolbook"/>
          <w:sz w:val="20"/>
          <w:szCs w:val="20"/>
        </w:rPr>
        <w:t xml:space="preserve"> centavos), que representa aumento global de </w:t>
      </w:r>
      <w:r>
        <w:rPr>
          <w:rFonts w:ascii="Century Schoolbook" w:hAnsi="Century Schoolbook"/>
          <w:sz w:val="20"/>
          <w:szCs w:val="20"/>
        </w:rPr>
        <w:t>6,95</w:t>
      </w:r>
      <w:r w:rsidRPr="007D72B9">
        <w:rPr>
          <w:rFonts w:ascii="Century Schoolbook" w:hAnsi="Century Schoolbook"/>
          <w:sz w:val="20"/>
          <w:szCs w:val="20"/>
        </w:rPr>
        <w:t>% com relação ao período anterior, quando o total apurado foi de R$ 63.903.728,74 (sessenta e três milhões, novecentos e três mil, setecentos e vinte e oito reais e setenta e quatro centavos), distribuídos entre as seguintes categorias principais:</w:t>
      </w:r>
    </w:p>
    <w:tbl>
      <w:tblPr>
        <w:tblW w:w="5000" w:type="pct"/>
        <w:tblCellMar>
          <w:left w:w="70" w:type="dxa"/>
          <w:right w:w="70" w:type="dxa"/>
        </w:tblCellMar>
        <w:tblLook w:val="04A0" w:firstRow="1" w:lastRow="0" w:firstColumn="1" w:lastColumn="0" w:noHBand="0" w:noVBand="1"/>
      </w:tblPr>
      <w:tblGrid>
        <w:gridCol w:w="2749"/>
        <w:gridCol w:w="1605"/>
        <w:gridCol w:w="1344"/>
        <w:gridCol w:w="1725"/>
        <w:gridCol w:w="1557"/>
        <w:gridCol w:w="1486"/>
      </w:tblGrid>
      <w:tr w:rsidR="00D87550" w:rsidRPr="00ED37EA" w14:paraId="45C22D52" w14:textId="77777777" w:rsidTr="006B7A43">
        <w:trPr>
          <w:trHeight w:val="804"/>
        </w:trPr>
        <w:tc>
          <w:tcPr>
            <w:tcW w:w="1313" w:type="pct"/>
            <w:tcBorders>
              <w:top w:val="nil"/>
              <w:left w:val="nil"/>
              <w:bottom w:val="single" w:sz="8" w:space="0" w:color="7F7F7F"/>
              <w:right w:val="nil"/>
            </w:tcBorders>
            <w:vAlign w:val="center"/>
            <w:hideMark/>
          </w:tcPr>
          <w:p w14:paraId="5F603FE0" w14:textId="77777777" w:rsidR="00D87550" w:rsidRPr="00ED37EA" w:rsidRDefault="00D87550" w:rsidP="006B7A43">
            <w:pPr>
              <w:spacing w:after="0" w:line="240" w:lineRule="auto"/>
              <w:jc w:val="right"/>
              <w:rPr>
                <w:rFonts w:ascii="Century Schoolbook" w:hAnsi="Century Schoolbook"/>
                <w:b/>
                <w:bCs/>
                <w:i/>
                <w:iCs/>
                <w:color w:val="000000"/>
                <w:sz w:val="20"/>
                <w:szCs w:val="20"/>
                <w:lang w:eastAsia="pt-BR"/>
              </w:rPr>
            </w:pPr>
            <w:r w:rsidRPr="00ED37EA">
              <w:rPr>
                <w:rFonts w:ascii="Century Schoolbook" w:hAnsi="Century Schoolbook"/>
                <w:b/>
                <w:bCs/>
                <w:i/>
                <w:iCs/>
                <w:color w:val="000000"/>
                <w:sz w:val="20"/>
                <w:szCs w:val="20"/>
                <w:lang w:eastAsia="pt-BR"/>
              </w:rPr>
              <w:t>DESPESAS GERAIS E ADMINISTRATIVAS</w:t>
            </w:r>
          </w:p>
        </w:tc>
        <w:tc>
          <w:tcPr>
            <w:tcW w:w="767" w:type="pct"/>
            <w:tcBorders>
              <w:top w:val="nil"/>
              <w:left w:val="nil"/>
              <w:bottom w:val="single" w:sz="8" w:space="0" w:color="7F7F7F"/>
              <w:right w:val="nil"/>
            </w:tcBorders>
            <w:vAlign w:val="center"/>
            <w:hideMark/>
          </w:tcPr>
          <w:p w14:paraId="0A7F593B" w14:textId="77777777" w:rsidR="00D87550" w:rsidRPr="00ED37EA" w:rsidRDefault="00D87550" w:rsidP="006B7A43">
            <w:pPr>
              <w:spacing w:after="0" w:line="240" w:lineRule="auto"/>
              <w:jc w:val="center"/>
              <w:rPr>
                <w:rFonts w:ascii="Century Schoolbook" w:hAnsi="Century Schoolbook"/>
                <w:b/>
                <w:bCs/>
                <w:i/>
                <w:iCs/>
                <w:color w:val="000000"/>
                <w:sz w:val="20"/>
                <w:szCs w:val="20"/>
                <w:lang w:eastAsia="pt-BR"/>
              </w:rPr>
            </w:pPr>
            <w:r w:rsidRPr="00ED37EA">
              <w:rPr>
                <w:rFonts w:ascii="Century Schoolbook" w:hAnsi="Century Schoolbook"/>
                <w:b/>
                <w:bCs/>
                <w:i/>
                <w:iCs/>
                <w:color w:val="000000"/>
                <w:sz w:val="20"/>
                <w:szCs w:val="20"/>
                <w:lang w:eastAsia="pt-BR"/>
              </w:rPr>
              <w:t>2024</w:t>
            </w:r>
          </w:p>
        </w:tc>
        <w:tc>
          <w:tcPr>
            <w:tcW w:w="642" w:type="pct"/>
            <w:tcBorders>
              <w:top w:val="nil"/>
              <w:left w:val="nil"/>
              <w:bottom w:val="single" w:sz="8" w:space="0" w:color="7F7F7F"/>
              <w:right w:val="nil"/>
            </w:tcBorders>
            <w:vAlign w:val="center"/>
            <w:hideMark/>
          </w:tcPr>
          <w:p w14:paraId="528EF2A4" w14:textId="77777777" w:rsidR="00D87550" w:rsidRPr="00ED37EA" w:rsidRDefault="00D87550" w:rsidP="006B7A43">
            <w:pPr>
              <w:spacing w:after="0" w:line="240" w:lineRule="auto"/>
              <w:jc w:val="center"/>
              <w:rPr>
                <w:rFonts w:ascii="Century Schoolbook" w:hAnsi="Century Schoolbook"/>
                <w:b/>
                <w:bCs/>
                <w:i/>
                <w:iCs/>
                <w:color w:val="000000"/>
                <w:sz w:val="20"/>
                <w:szCs w:val="20"/>
                <w:lang w:eastAsia="pt-BR"/>
              </w:rPr>
            </w:pPr>
            <w:r w:rsidRPr="00ED37EA">
              <w:rPr>
                <w:rFonts w:ascii="Century Schoolbook" w:hAnsi="Century Schoolbook"/>
                <w:b/>
                <w:bCs/>
                <w:i/>
                <w:iCs/>
                <w:color w:val="000000"/>
                <w:sz w:val="20"/>
                <w:szCs w:val="20"/>
                <w:lang w:eastAsia="pt-BR"/>
              </w:rPr>
              <w:t>ANÁLISE VERTICAL</w:t>
            </w:r>
          </w:p>
        </w:tc>
        <w:tc>
          <w:tcPr>
            <w:tcW w:w="824" w:type="pct"/>
            <w:tcBorders>
              <w:top w:val="nil"/>
              <w:left w:val="nil"/>
              <w:bottom w:val="single" w:sz="8" w:space="0" w:color="7F7F7F"/>
              <w:right w:val="nil"/>
            </w:tcBorders>
            <w:vAlign w:val="center"/>
            <w:hideMark/>
          </w:tcPr>
          <w:p w14:paraId="50FF5EFC" w14:textId="77777777" w:rsidR="00D87550" w:rsidRPr="00ED37EA" w:rsidRDefault="00D87550" w:rsidP="006B7A43">
            <w:pPr>
              <w:spacing w:after="0" w:line="240" w:lineRule="auto"/>
              <w:jc w:val="center"/>
              <w:rPr>
                <w:rFonts w:ascii="Century Schoolbook" w:hAnsi="Century Schoolbook"/>
                <w:b/>
                <w:bCs/>
                <w:i/>
                <w:iCs/>
                <w:color w:val="000000"/>
                <w:sz w:val="20"/>
                <w:szCs w:val="20"/>
                <w:lang w:eastAsia="pt-BR"/>
              </w:rPr>
            </w:pPr>
            <w:r w:rsidRPr="00ED37EA">
              <w:rPr>
                <w:rFonts w:ascii="Century Schoolbook" w:hAnsi="Century Schoolbook"/>
                <w:b/>
                <w:bCs/>
                <w:i/>
                <w:iCs/>
                <w:color w:val="000000"/>
                <w:sz w:val="20"/>
                <w:szCs w:val="20"/>
                <w:lang w:eastAsia="pt-BR"/>
              </w:rPr>
              <w:t>ANÁLISE HORIZONTAL</w:t>
            </w:r>
          </w:p>
        </w:tc>
        <w:tc>
          <w:tcPr>
            <w:tcW w:w="744" w:type="pct"/>
            <w:tcBorders>
              <w:top w:val="nil"/>
              <w:left w:val="nil"/>
              <w:bottom w:val="single" w:sz="8" w:space="0" w:color="7F7F7F"/>
              <w:right w:val="nil"/>
            </w:tcBorders>
            <w:vAlign w:val="center"/>
            <w:hideMark/>
          </w:tcPr>
          <w:p w14:paraId="6FEBC87A" w14:textId="77777777" w:rsidR="00D87550" w:rsidRPr="00ED37EA" w:rsidRDefault="00D87550" w:rsidP="006B7A43">
            <w:pPr>
              <w:spacing w:after="0" w:line="240" w:lineRule="auto"/>
              <w:jc w:val="center"/>
              <w:rPr>
                <w:rFonts w:ascii="Century Schoolbook" w:hAnsi="Century Schoolbook"/>
                <w:b/>
                <w:bCs/>
                <w:i/>
                <w:iCs/>
                <w:color w:val="000000"/>
                <w:sz w:val="20"/>
                <w:szCs w:val="20"/>
                <w:lang w:eastAsia="pt-BR"/>
              </w:rPr>
            </w:pPr>
            <w:r w:rsidRPr="00ED37EA">
              <w:rPr>
                <w:rFonts w:ascii="Century Schoolbook" w:hAnsi="Century Schoolbook"/>
                <w:b/>
                <w:bCs/>
                <w:i/>
                <w:iCs/>
                <w:color w:val="000000"/>
                <w:sz w:val="20"/>
                <w:szCs w:val="20"/>
                <w:lang w:eastAsia="pt-BR"/>
              </w:rPr>
              <w:t>2025</w:t>
            </w:r>
          </w:p>
        </w:tc>
        <w:tc>
          <w:tcPr>
            <w:tcW w:w="710" w:type="pct"/>
            <w:tcBorders>
              <w:top w:val="nil"/>
              <w:left w:val="nil"/>
              <w:bottom w:val="single" w:sz="8" w:space="0" w:color="7F7F7F"/>
              <w:right w:val="nil"/>
            </w:tcBorders>
            <w:vAlign w:val="center"/>
            <w:hideMark/>
          </w:tcPr>
          <w:p w14:paraId="4376F5D8" w14:textId="77777777" w:rsidR="00D87550" w:rsidRPr="00ED37EA" w:rsidRDefault="00D87550" w:rsidP="006B7A43">
            <w:pPr>
              <w:spacing w:after="0" w:line="240" w:lineRule="auto"/>
              <w:jc w:val="center"/>
              <w:rPr>
                <w:rFonts w:ascii="Century Schoolbook" w:hAnsi="Century Schoolbook"/>
                <w:b/>
                <w:bCs/>
                <w:i/>
                <w:iCs/>
                <w:color w:val="000000"/>
                <w:sz w:val="20"/>
                <w:szCs w:val="20"/>
                <w:lang w:eastAsia="pt-BR"/>
              </w:rPr>
            </w:pPr>
            <w:r w:rsidRPr="00ED37EA">
              <w:rPr>
                <w:rFonts w:ascii="Century Schoolbook" w:hAnsi="Century Schoolbook"/>
                <w:b/>
                <w:bCs/>
                <w:i/>
                <w:iCs/>
                <w:color w:val="000000"/>
                <w:sz w:val="20"/>
                <w:szCs w:val="20"/>
                <w:lang w:eastAsia="pt-BR"/>
              </w:rPr>
              <w:t>ANÁLISE VERTICAL</w:t>
            </w:r>
          </w:p>
        </w:tc>
      </w:tr>
      <w:tr w:rsidR="00D87550" w:rsidRPr="00ED37EA" w14:paraId="67422E30" w14:textId="77777777" w:rsidTr="006B7A43">
        <w:trPr>
          <w:trHeight w:val="300"/>
        </w:trPr>
        <w:tc>
          <w:tcPr>
            <w:tcW w:w="1313" w:type="pct"/>
            <w:tcBorders>
              <w:top w:val="nil"/>
              <w:left w:val="nil"/>
              <w:bottom w:val="nil"/>
              <w:right w:val="single" w:sz="8" w:space="0" w:color="7F7F7F"/>
            </w:tcBorders>
            <w:noWrap/>
            <w:vAlign w:val="center"/>
            <w:hideMark/>
          </w:tcPr>
          <w:p w14:paraId="45517210"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Despesas de pessoal</w:t>
            </w:r>
          </w:p>
        </w:tc>
        <w:tc>
          <w:tcPr>
            <w:tcW w:w="767" w:type="pct"/>
            <w:tcBorders>
              <w:top w:val="nil"/>
              <w:left w:val="nil"/>
              <w:bottom w:val="nil"/>
              <w:right w:val="nil"/>
            </w:tcBorders>
            <w:noWrap/>
            <w:vAlign w:val="center"/>
            <w:hideMark/>
          </w:tcPr>
          <w:p w14:paraId="6091B065"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38.374.674</w:t>
            </w:r>
          </w:p>
        </w:tc>
        <w:tc>
          <w:tcPr>
            <w:tcW w:w="642" w:type="pct"/>
            <w:tcBorders>
              <w:top w:val="nil"/>
              <w:left w:val="nil"/>
              <w:bottom w:val="nil"/>
              <w:right w:val="nil"/>
            </w:tcBorders>
            <w:noWrap/>
            <w:vAlign w:val="center"/>
            <w:hideMark/>
          </w:tcPr>
          <w:p w14:paraId="5028F1B3"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60,05%</w:t>
            </w:r>
          </w:p>
        </w:tc>
        <w:tc>
          <w:tcPr>
            <w:tcW w:w="824" w:type="pct"/>
            <w:tcBorders>
              <w:top w:val="nil"/>
              <w:left w:val="nil"/>
              <w:bottom w:val="nil"/>
              <w:right w:val="nil"/>
            </w:tcBorders>
            <w:noWrap/>
            <w:vAlign w:val="center"/>
            <w:hideMark/>
          </w:tcPr>
          <w:p w14:paraId="4DCD4627"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-3,59%</w:t>
            </w:r>
          </w:p>
        </w:tc>
        <w:tc>
          <w:tcPr>
            <w:tcW w:w="744" w:type="pct"/>
            <w:tcBorders>
              <w:top w:val="nil"/>
              <w:left w:val="nil"/>
              <w:bottom w:val="nil"/>
              <w:right w:val="nil"/>
            </w:tcBorders>
            <w:noWrap/>
            <w:vAlign w:val="center"/>
            <w:hideMark/>
          </w:tcPr>
          <w:p w14:paraId="5709361C"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36.998.407</w:t>
            </w:r>
          </w:p>
        </w:tc>
        <w:tc>
          <w:tcPr>
            <w:tcW w:w="710" w:type="pct"/>
            <w:tcBorders>
              <w:top w:val="nil"/>
              <w:left w:val="nil"/>
              <w:bottom w:val="nil"/>
              <w:right w:val="nil"/>
            </w:tcBorders>
            <w:noWrap/>
            <w:vAlign w:val="center"/>
            <w:hideMark/>
          </w:tcPr>
          <w:p w14:paraId="176DB840"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54,14%</w:t>
            </w:r>
          </w:p>
        </w:tc>
      </w:tr>
      <w:tr w:rsidR="00D87550" w:rsidRPr="00ED37EA" w14:paraId="4BB474A3" w14:textId="77777777" w:rsidTr="006B7A43">
        <w:trPr>
          <w:trHeight w:val="300"/>
        </w:trPr>
        <w:tc>
          <w:tcPr>
            <w:tcW w:w="1313" w:type="pct"/>
            <w:tcBorders>
              <w:top w:val="nil"/>
              <w:left w:val="nil"/>
              <w:bottom w:val="nil"/>
              <w:right w:val="single" w:sz="8" w:space="0" w:color="7F7F7F"/>
            </w:tcBorders>
            <w:noWrap/>
            <w:vAlign w:val="center"/>
            <w:hideMark/>
          </w:tcPr>
          <w:p w14:paraId="70F2D774"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Encargos sociais</w:t>
            </w:r>
          </w:p>
        </w:tc>
        <w:tc>
          <w:tcPr>
            <w:tcW w:w="767" w:type="pct"/>
            <w:tcBorders>
              <w:top w:val="nil"/>
              <w:left w:val="nil"/>
              <w:bottom w:val="nil"/>
              <w:right w:val="nil"/>
            </w:tcBorders>
            <w:noWrap/>
            <w:vAlign w:val="center"/>
            <w:hideMark/>
          </w:tcPr>
          <w:p w14:paraId="2F406C30"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11.302.369</w:t>
            </w:r>
          </w:p>
        </w:tc>
        <w:tc>
          <w:tcPr>
            <w:tcW w:w="642" w:type="pct"/>
            <w:tcBorders>
              <w:top w:val="nil"/>
              <w:left w:val="nil"/>
              <w:bottom w:val="nil"/>
              <w:right w:val="nil"/>
            </w:tcBorders>
            <w:noWrap/>
            <w:vAlign w:val="center"/>
            <w:hideMark/>
          </w:tcPr>
          <w:p w14:paraId="55832868"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17,69%</w:t>
            </w:r>
          </w:p>
        </w:tc>
        <w:tc>
          <w:tcPr>
            <w:tcW w:w="824" w:type="pct"/>
            <w:tcBorders>
              <w:top w:val="nil"/>
              <w:left w:val="nil"/>
              <w:bottom w:val="nil"/>
              <w:right w:val="nil"/>
            </w:tcBorders>
            <w:noWrap/>
            <w:vAlign w:val="center"/>
            <w:hideMark/>
          </w:tcPr>
          <w:p w14:paraId="23B1F5C0"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-1,26%</w:t>
            </w:r>
          </w:p>
        </w:tc>
        <w:tc>
          <w:tcPr>
            <w:tcW w:w="744" w:type="pct"/>
            <w:tcBorders>
              <w:top w:val="nil"/>
              <w:left w:val="nil"/>
              <w:bottom w:val="nil"/>
              <w:right w:val="nil"/>
            </w:tcBorders>
            <w:noWrap/>
            <w:vAlign w:val="center"/>
            <w:hideMark/>
          </w:tcPr>
          <w:p w14:paraId="7D2D83AA"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11.159.996</w:t>
            </w:r>
          </w:p>
        </w:tc>
        <w:tc>
          <w:tcPr>
            <w:tcW w:w="710" w:type="pct"/>
            <w:tcBorders>
              <w:top w:val="nil"/>
              <w:left w:val="nil"/>
              <w:bottom w:val="nil"/>
              <w:right w:val="nil"/>
            </w:tcBorders>
            <w:noWrap/>
            <w:vAlign w:val="center"/>
            <w:hideMark/>
          </w:tcPr>
          <w:p w14:paraId="56210472"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16,33%</w:t>
            </w:r>
          </w:p>
        </w:tc>
      </w:tr>
      <w:tr w:rsidR="00D87550" w:rsidRPr="00ED37EA" w14:paraId="4A1216E6" w14:textId="77777777" w:rsidTr="006B7A43">
        <w:trPr>
          <w:trHeight w:val="300"/>
        </w:trPr>
        <w:tc>
          <w:tcPr>
            <w:tcW w:w="1313" w:type="pct"/>
            <w:tcBorders>
              <w:top w:val="nil"/>
              <w:left w:val="nil"/>
              <w:bottom w:val="nil"/>
              <w:right w:val="single" w:sz="8" w:space="0" w:color="7F7F7F"/>
            </w:tcBorders>
            <w:noWrap/>
            <w:vAlign w:val="center"/>
            <w:hideMark/>
          </w:tcPr>
          <w:p w14:paraId="64EB6848"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Serviços de terceiros</w:t>
            </w:r>
          </w:p>
        </w:tc>
        <w:tc>
          <w:tcPr>
            <w:tcW w:w="767" w:type="pct"/>
            <w:tcBorders>
              <w:top w:val="nil"/>
              <w:left w:val="nil"/>
              <w:bottom w:val="nil"/>
              <w:right w:val="nil"/>
            </w:tcBorders>
            <w:noWrap/>
            <w:vAlign w:val="center"/>
            <w:hideMark/>
          </w:tcPr>
          <w:p w14:paraId="360C6E8B"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10.519.819</w:t>
            </w:r>
          </w:p>
        </w:tc>
        <w:tc>
          <w:tcPr>
            <w:tcW w:w="642" w:type="pct"/>
            <w:tcBorders>
              <w:top w:val="nil"/>
              <w:left w:val="nil"/>
              <w:bottom w:val="nil"/>
              <w:right w:val="nil"/>
            </w:tcBorders>
            <w:noWrap/>
            <w:vAlign w:val="center"/>
            <w:hideMark/>
          </w:tcPr>
          <w:p w14:paraId="15F9A2EA"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16,46%</w:t>
            </w:r>
          </w:p>
        </w:tc>
        <w:tc>
          <w:tcPr>
            <w:tcW w:w="824" w:type="pct"/>
            <w:tcBorders>
              <w:top w:val="nil"/>
              <w:left w:val="nil"/>
              <w:bottom w:val="nil"/>
              <w:right w:val="nil"/>
            </w:tcBorders>
            <w:noWrap/>
            <w:vAlign w:val="center"/>
            <w:hideMark/>
          </w:tcPr>
          <w:p w14:paraId="24EBAB60"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88,39%</w:t>
            </w:r>
          </w:p>
        </w:tc>
        <w:tc>
          <w:tcPr>
            <w:tcW w:w="744" w:type="pct"/>
            <w:tcBorders>
              <w:top w:val="nil"/>
              <w:left w:val="nil"/>
              <w:bottom w:val="nil"/>
              <w:right w:val="nil"/>
            </w:tcBorders>
            <w:noWrap/>
            <w:vAlign w:val="center"/>
            <w:hideMark/>
          </w:tcPr>
          <w:p w14:paraId="001A367B"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19.818.246</w:t>
            </w:r>
          </w:p>
        </w:tc>
        <w:tc>
          <w:tcPr>
            <w:tcW w:w="710" w:type="pct"/>
            <w:tcBorders>
              <w:top w:val="nil"/>
              <w:left w:val="nil"/>
              <w:bottom w:val="nil"/>
              <w:right w:val="nil"/>
            </w:tcBorders>
            <w:noWrap/>
            <w:vAlign w:val="center"/>
            <w:hideMark/>
          </w:tcPr>
          <w:p w14:paraId="08A8AD6E"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29,00%</w:t>
            </w:r>
          </w:p>
        </w:tc>
      </w:tr>
      <w:tr w:rsidR="00D87550" w:rsidRPr="00ED37EA" w14:paraId="452A4980" w14:textId="77777777" w:rsidTr="006B7A43">
        <w:trPr>
          <w:trHeight w:val="300"/>
        </w:trPr>
        <w:tc>
          <w:tcPr>
            <w:tcW w:w="1313" w:type="pct"/>
            <w:tcBorders>
              <w:top w:val="nil"/>
              <w:left w:val="nil"/>
              <w:bottom w:val="nil"/>
              <w:right w:val="single" w:sz="8" w:space="0" w:color="7F7F7F"/>
            </w:tcBorders>
            <w:noWrap/>
            <w:vAlign w:val="center"/>
            <w:hideMark/>
          </w:tcPr>
          <w:p w14:paraId="330557C7"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Despesas com materiais</w:t>
            </w:r>
          </w:p>
        </w:tc>
        <w:tc>
          <w:tcPr>
            <w:tcW w:w="767" w:type="pct"/>
            <w:tcBorders>
              <w:top w:val="nil"/>
              <w:left w:val="nil"/>
              <w:bottom w:val="nil"/>
              <w:right w:val="nil"/>
            </w:tcBorders>
            <w:noWrap/>
            <w:vAlign w:val="center"/>
            <w:hideMark/>
          </w:tcPr>
          <w:p w14:paraId="6F053CDD"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104.082</w:t>
            </w:r>
          </w:p>
        </w:tc>
        <w:tc>
          <w:tcPr>
            <w:tcW w:w="642" w:type="pct"/>
            <w:tcBorders>
              <w:top w:val="nil"/>
              <w:left w:val="nil"/>
              <w:bottom w:val="nil"/>
              <w:right w:val="nil"/>
            </w:tcBorders>
            <w:noWrap/>
            <w:vAlign w:val="center"/>
            <w:hideMark/>
          </w:tcPr>
          <w:p w14:paraId="36FCE6BE"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0,16%</w:t>
            </w:r>
          </w:p>
        </w:tc>
        <w:tc>
          <w:tcPr>
            <w:tcW w:w="824" w:type="pct"/>
            <w:tcBorders>
              <w:top w:val="nil"/>
              <w:left w:val="nil"/>
              <w:bottom w:val="nil"/>
              <w:right w:val="nil"/>
            </w:tcBorders>
            <w:noWrap/>
            <w:vAlign w:val="center"/>
            <w:hideMark/>
          </w:tcPr>
          <w:p w14:paraId="1F2CD5A0"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-25,53%</w:t>
            </w:r>
          </w:p>
        </w:tc>
        <w:tc>
          <w:tcPr>
            <w:tcW w:w="744" w:type="pct"/>
            <w:tcBorders>
              <w:top w:val="nil"/>
              <w:left w:val="nil"/>
              <w:bottom w:val="nil"/>
              <w:right w:val="nil"/>
            </w:tcBorders>
            <w:noWrap/>
            <w:vAlign w:val="center"/>
            <w:hideMark/>
          </w:tcPr>
          <w:p w14:paraId="160C235C"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77.505</w:t>
            </w:r>
          </w:p>
        </w:tc>
        <w:tc>
          <w:tcPr>
            <w:tcW w:w="710" w:type="pct"/>
            <w:tcBorders>
              <w:top w:val="nil"/>
              <w:left w:val="nil"/>
              <w:bottom w:val="nil"/>
              <w:right w:val="nil"/>
            </w:tcBorders>
            <w:noWrap/>
            <w:vAlign w:val="center"/>
            <w:hideMark/>
          </w:tcPr>
          <w:p w14:paraId="6AB537CB"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0,11%</w:t>
            </w:r>
          </w:p>
        </w:tc>
      </w:tr>
      <w:tr w:rsidR="00D87550" w:rsidRPr="00ED37EA" w14:paraId="2869BDB4" w14:textId="77777777" w:rsidTr="006B7A43">
        <w:trPr>
          <w:trHeight w:val="300"/>
        </w:trPr>
        <w:tc>
          <w:tcPr>
            <w:tcW w:w="1313" w:type="pct"/>
            <w:tcBorders>
              <w:top w:val="nil"/>
              <w:left w:val="nil"/>
              <w:bottom w:val="nil"/>
              <w:right w:val="single" w:sz="8" w:space="0" w:color="7F7F7F"/>
            </w:tcBorders>
            <w:noWrap/>
            <w:vAlign w:val="center"/>
            <w:hideMark/>
          </w:tcPr>
          <w:p w14:paraId="02529CC7"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Encargos diversos</w:t>
            </w:r>
          </w:p>
        </w:tc>
        <w:tc>
          <w:tcPr>
            <w:tcW w:w="767" w:type="pct"/>
            <w:tcBorders>
              <w:top w:val="nil"/>
              <w:left w:val="nil"/>
              <w:bottom w:val="nil"/>
              <w:right w:val="nil"/>
            </w:tcBorders>
            <w:noWrap/>
            <w:vAlign w:val="center"/>
            <w:hideMark/>
          </w:tcPr>
          <w:p w14:paraId="365539A3"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3.202.785</w:t>
            </w:r>
          </w:p>
        </w:tc>
        <w:tc>
          <w:tcPr>
            <w:tcW w:w="642" w:type="pct"/>
            <w:tcBorders>
              <w:top w:val="nil"/>
              <w:left w:val="nil"/>
              <w:bottom w:val="nil"/>
              <w:right w:val="nil"/>
            </w:tcBorders>
            <w:noWrap/>
            <w:vAlign w:val="center"/>
            <w:hideMark/>
          </w:tcPr>
          <w:p w14:paraId="7E90F6A8"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5,01%</w:t>
            </w:r>
          </w:p>
        </w:tc>
        <w:tc>
          <w:tcPr>
            <w:tcW w:w="824" w:type="pct"/>
            <w:tcBorders>
              <w:top w:val="nil"/>
              <w:left w:val="nil"/>
              <w:bottom w:val="nil"/>
              <w:right w:val="nil"/>
            </w:tcBorders>
            <w:noWrap/>
            <w:vAlign w:val="center"/>
            <w:hideMark/>
          </w:tcPr>
          <w:p w14:paraId="1A539713"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-90,97%</w:t>
            </w:r>
          </w:p>
        </w:tc>
        <w:tc>
          <w:tcPr>
            <w:tcW w:w="744" w:type="pct"/>
            <w:tcBorders>
              <w:top w:val="nil"/>
              <w:left w:val="nil"/>
              <w:bottom w:val="nil"/>
              <w:right w:val="nil"/>
            </w:tcBorders>
            <w:noWrap/>
            <w:vAlign w:val="center"/>
            <w:hideMark/>
          </w:tcPr>
          <w:p w14:paraId="13D77A1D"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289.333</w:t>
            </w:r>
          </w:p>
        </w:tc>
        <w:tc>
          <w:tcPr>
            <w:tcW w:w="710" w:type="pct"/>
            <w:tcBorders>
              <w:top w:val="nil"/>
              <w:left w:val="nil"/>
              <w:bottom w:val="nil"/>
              <w:right w:val="nil"/>
            </w:tcBorders>
            <w:noWrap/>
            <w:vAlign w:val="center"/>
            <w:hideMark/>
          </w:tcPr>
          <w:p w14:paraId="4C746594"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0,42%</w:t>
            </w:r>
          </w:p>
        </w:tc>
      </w:tr>
      <w:tr w:rsidR="00D87550" w:rsidRPr="00ED37EA" w14:paraId="61DEED42" w14:textId="77777777" w:rsidTr="006B7A43">
        <w:trPr>
          <w:trHeight w:val="300"/>
        </w:trPr>
        <w:tc>
          <w:tcPr>
            <w:tcW w:w="1313" w:type="pct"/>
            <w:tcBorders>
              <w:top w:val="nil"/>
              <w:left w:val="nil"/>
              <w:bottom w:val="nil"/>
              <w:right w:val="single" w:sz="8" w:space="0" w:color="7F7F7F"/>
            </w:tcBorders>
            <w:noWrap/>
            <w:vAlign w:val="center"/>
            <w:hideMark/>
          </w:tcPr>
          <w:p w14:paraId="7B9F5B2F"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Despesas com patrocínios</w:t>
            </w:r>
          </w:p>
        </w:tc>
        <w:tc>
          <w:tcPr>
            <w:tcW w:w="767" w:type="pct"/>
            <w:tcBorders>
              <w:top w:val="nil"/>
              <w:left w:val="nil"/>
              <w:bottom w:val="nil"/>
              <w:right w:val="nil"/>
            </w:tcBorders>
            <w:noWrap/>
            <w:vAlign w:val="center"/>
            <w:hideMark/>
          </w:tcPr>
          <w:p w14:paraId="2B7A0E24"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400.000</w:t>
            </w:r>
          </w:p>
        </w:tc>
        <w:tc>
          <w:tcPr>
            <w:tcW w:w="642" w:type="pct"/>
            <w:tcBorders>
              <w:top w:val="nil"/>
              <w:left w:val="nil"/>
              <w:bottom w:val="nil"/>
              <w:right w:val="nil"/>
            </w:tcBorders>
            <w:noWrap/>
            <w:vAlign w:val="center"/>
            <w:hideMark/>
          </w:tcPr>
          <w:p w14:paraId="047D3C7F"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0,63%</w:t>
            </w:r>
          </w:p>
        </w:tc>
        <w:tc>
          <w:tcPr>
            <w:tcW w:w="824" w:type="pct"/>
            <w:tcBorders>
              <w:top w:val="nil"/>
              <w:left w:val="nil"/>
              <w:bottom w:val="nil"/>
              <w:right w:val="nil"/>
            </w:tcBorders>
            <w:noWrap/>
            <w:vAlign w:val="center"/>
            <w:hideMark/>
          </w:tcPr>
          <w:p w14:paraId="53867734"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-100,00%</w:t>
            </w:r>
          </w:p>
        </w:tc>
        <w:tc>
          <w:tcPr>
            <w:tcW w:w="744" w:type="pct"/>
            <w:tcBorders>
              <w:top w:val="nil"/>
              <w:left w:val="nil"/>
              <w:bottom w:val="nil"/>
              <w:right w:val="nil"/>
            </w:tcBorders>
            <w:noWrap/>
            <w:hideMark/>
          </w:tcPr>
          <w:p w14:paraId="6897E007"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p>
        </w:tc>
        <w:tc>
          <w:tcPr>
            <w:tcW w:w="710" w:type="pct"/>
            <w:tcBorders>
              <w:top w:val="nil"/>
              <w:left w:val="nil"/>
              <w:bottom w:val="nil"/>
              <w:right w:val="nil"/>
            </w:tcBorders>
            <w:noWrap/>
            <w:vAlign w:val="center"/>
            <w:hideMark/>
          </w:tcPr>
          <w:p w14:paraId="257A5A17" w14:textId="77777777" w:rsidR="00D87550" w:rsidRPr="00ED37EA" w:rsidRDefault="00D87550" w:rsidP="006B7A43">
            <w:pPr>
              <w:spacing w:after="0" w:line="240" w:lineRule="auto"/>
              <w:jc w:val="right"/>
              <w:rPr>
                <w:rFonts w:ascii="Century Schoolbook" w:hAnsi="Century Schoolbook"/>
                <w:i/>
                <w:iCs/>
                <w:color w:val="000000"/>
                <w:sz w:val="20"/>
                <w:szCs w:val="20"/>
                <w:lang w:eastAsia="pt-BR"/>
              </w:rPr>
            </w:pPr>
            <w:r w:rsidRPr="00ED37EA">
              <w:rPr>
                <w:rFonts w:ascii="Century Schoolbook" w:hAnsi="Century Schoolbook"/>
                <w:i/>
                <w:iCs/>
                <w:color w:val="000000"/>
                <w:sz w:val="20"/>
                <w:szCs w:val="20"/>
                <w:lang w:eastAsia="pt-BR"/>
              </w:rPr>
              <w:t> </w:t>
            </w:r>
          </w:p>
        </w:tc>
      </w:tr>
      <w:tr w:rsidR="00D87550" w:rsidRPr="00ED37EA" w14:paraId="08D5CCE4" w14:textId="77777777" w:rsidTr="006B7A43">
        <w:trPr>
          <w:trHeight w:val="300"/>
        </w:trPr>
        <w:tc>
          <w:tcPr>
            <w:tcW w:w="1313" w:type="pct"/>
            <w:tcBorders>
              <w:top w:val="nil"/>
              <w:left w:val="nil"/>
              <w:bottom w:val="nil"/>
              <w:right w:val="single" w:sz="8" w:space="0" w:color="7F7F7F"/>
            </w:tcBorders>
            <w:noWrap/>
            <w:vAlign w:val="center"/>
            <w:hideMark/>
          </w:tcPr>
          <w:p w14:paraId="4040F310" w14:textId="77777777" w:rsidR="00D87550" w:rsidRPr="00ED37EA" w:rsidRDefault="00D87550" w:rsidP="006B7A43">
            <w:pPr>
              <w:spacing w:after="0" w:line="240" w:lineRule="auto"/>
              <w:jc w:val="right"/>
              <w:rPr>
                <w:rFonts w:ascii="Century Schoolbook" w:hAnsi="Century Schoolbook"/>
                <w:b/>
                <w:bCs/>
                <w:i/>
                <w:iCs/>
                <w:color w:val="000000"/>
                <w:sz w:val="20"/>
                <w:szCs w:val="20"/>
                <w:lang w:eastAsia="pt-BR"/>
              </w:rPr>
            </w:pPr>
            <w:r w:rsidRPr="00ED37EA">
              <w:rPr>
                <w:rFonts w:ascii="Century Schoolbook" w:hAnsi="Century Schoolbook"/>
                <w:b/>
                <w:bCs/>
                <w:i/>
                <w:iCs/>
                <w:color w:val="000000"/>
                <w:sz w:val="20"/>
                <w:szCs w:val="20"/>
                <w:lang w:eastAsia="pt-BR"/>
              </w:rPr>
              <w:t>TOTAL - R$</w:t>
            </w:r>
          </w:p>
        </w:tc>
        <w:tc>
          <w:tcPr>
            <w:tcW w:w="767" w:type="pct"/>
            <w:tcBorders>
              <w:top w:val="nil"/>
              <w:left w:val="nil"/>
              <w:bottom w:val="nil"/>
              <w:right w:val="nil"/>
            </w:tcBorders>
            <w:noWrap/>
            <w:vAlign w:val="center"/>
            <w:hideMark/>
          </w:tcPr>
          <w:p w14:paraId="16B990D8" w14:textId="77777777" w:rsidR="00D87550" w:rsidRPr="00ED37EA" w:rsidRDefault="00D87550" w:rsidP="006B7A43">
            <w:pPr>
              <w:spacing w:after="0" w:line="240" w:lineRule="auto"/>
              <w:jc w:val="right"/>
              <w:rPr>
                <w:rFonts w:ascii="Century Schoolbook" w:hAnsi="Century Schoolbook"/>
                <w:b/>
                <w:bCs/>
                <w:i/>
                <w:iCs/>
                <w:color w:val="000000"/>
                <w:sz w:val="20"/>
                <w:szCs w:val="20"/>
                <w:lang w:eastAsia="pt-BR"/>
              </w:rPr>
            </w:pPr>
            <w:r w:rsidRPr="00ED37EA">
              <w:rPr>
                <w:rFonts w:ascii="Century Schoolbook" w:hAnsi="Century Schoolbook"/>
                <w:b/>
                <w:bCs/>
                <w:i/>
                <w:iCs/>
                <w:color w:val="000000"/>
                <w:sz w:val="20"/>
                <w:szCs w:val="20"/>
                <w:lang w:eastAsia="pt-BR"/>
              </w:rPr>
              <w:t>63.903.729</w:t>
            </w:r>
          </w:p>
        </w:tc>
        <w:tc>
          <w:tcPr>
            <w:tcW w:w="642" w:type="pct"/>
            <w:tcBorders>
              <w:top w:val="nil"/>
              <w:left w:val="nil"/>
              <w:bottom w:val="nil"/>
              <w:right w:val="nil"/>
            </w:tcBorders>
            <w:noWrap/>
            <w:vAlign w:val="center"/>
            <w:hideMark/>
          </w:tcPr>
          <w:p w14:paraId="67F674C0" w14:textId="77777777" w:rsidR="00D87550" w:rsidRPr="00ED37EA" w:rsidRDefault="00D87550" w:rsidP="006B7A43">
            <w:pPr>
              <w:spacing w:after="0" w:line="240" w:lineRule="auto"/>
              <w:jc w:val="right"/>
              <w:rPr>
                <w:rFonts w:ascii="Century Schoolbook" w:hAnsi="Century Schoolbook"/>
                <w:b/>
                <w:bCs/>
                <w:i/>
                <w:iCs/>
                <w:color w:val="000000"/>
                <w:sz w:val="20"/>
                <w:szCs w:val="20"/>
                <w:lang w:eastAsia="pt-BR"/>
              </w:rPr>
            </w:pPr>
            <w:r w:rsidRPr="00ED37EA">
              <w:rPr>
                <w:rFonts w:ascii="Century Schoolbook" w:hAnsi="Century Schoolbook"/>
                <w:b/>
                <w:bCs/>
                <w:i/>
                <w:iCs/>
                <w:color w:val="000000"/>
                <w:sz w:val="20"/>
                <w:szCs w:val="20"/>
                <w:lang w:eastAsia="pt-BR"/>
              </w:rPr>
              <w:t>100</w:t>
            </w:r>
            <w:r>
              <w:rPr>
                <w:rFonts w:ascii="Century Schoolbook" w:hAnsi="Century Schoolbook"/>
                <w:b/>
                <w:bCs/>
                <w:i/>
                <w:iCs/>
                <w:color w:val="000000"/>
                <w:sz w:val="20"/>
                <w:szCs w:val="20"/>
                <w:lang w:eastAsia="pt-BR"/>
              </w:rPr>
              <w:t>,00</w:t>
            </w:r>
            <w:r w:rsidRPr="00ED37EA">
              <w:rPr>
                <w:rFonts w:ascii="Century Schoolbook" w:hAnsi="Century Schoolbook"/>
                <w:b/>
                <w:bCs/>
                <w:i/>
                <w:iCs/>
                <w:color w:val="000000"/>
                <w:sz w:val="20"/>
                <w:szCs w:val="20"/>
                <w:lang w:eastAsia="pt-BR"/>
              </w:rPr>
              <w:t>%</w:t>
            </w:r>
          </w:p>
        </w:tc>
        <w:tc>
          <w:tcPr>
            <w:tcW w:w="824" w:type="pct"/>
            <w:tcBorders>
              <w:top w:val="nil"/>
              <w:left w:val="nil"/>
              <w:bottom w:val="nil"/>
              <w:right w:val="nil"/>
            </w:tcBorders>
            <w:noWrap/>
            <w:vAlign w:val="center"/>
            <w:hideMark/>
          </w:tcPr>
          <w:p w14:paraId="74E9D21F" w14:textId="77777777" w:rsidR="00D87550" w:rsidRPr="00ED37EA" w:rsidRDefault="00D87550" w:rsidP="006B7A43">
            <w:pPr>
              <w:spacing w:after="0" w:line="240" w:lineRule="auto"/>
              <w:jc w:val="right"/>
              <w:rPr>
                <w:rFonts w:ascii="Century Schoolbook" w:hAnsi="Century Schoolbook"/>
                <w:b/>
                <w:bCs/>
                <w:i/>
                <w:iCs/>
                <w:color w:val="000000"/>
                <w:sz w:val="20"/>
                <w:szCs w:val="20"/>
                <w:lang w:eastAsia="pt-BR"/>
              </w:rPr>
            </w:pPr>
            <w:r>
              <w:rPr>
                <w:rFonts w:ascii="Century Schoolbook" w:hAnsi="Century Schoolbook"/>
                <w:b/>
                <w:bCs/>
                <w:i/>
                <w:iCs/>
                <w:color w:val="000000"/>
                <w:sz w:val="20"/>
                <w:szCs w:val="20"/>
                <w:lang w:eastAsia="pt-BR"/>
              </w:rPr>
              <w:t>6</w:t>
            </w:r>
            <w:r w:rsidRPr="00ED37EA">
              <w:rPr>
                <w:rFonts w:ascii="Century Schoolbook" w:hAnsi="Century Schoolbook"/>
                <w:b/>
                <w:bCs/>
                <w:i/>
                <w:iCs/>
                <w:color w:val="000000"/>
                <w:sz w:val="20"/>
                <w:szCs w:val="20"/>
                <w:lang w:eastAsia="pt-BR"/>
              </w:rPr>
              <w:t>,</w:t>
            </w:r>
            <w:r>
              <w:rPr>
                <w:rFonts w:ascii="Century Schoolbook" w:hAnsi="Century Schoolbook"/>
                <w:b/>
                <w:bCs/>
                <w:i/>
                <w:iCs/>
                <w:color w:val="000000"/>
                <w:sz w:val="20"/>
                <w:szCs w:val="20"/>
                <w:lang w:eastAsia="pt-BR"/>
              </w:rPr>
              <w:t>95%</w:t>
            </w:r>
          </w:p>
        </w:tc>
        <w:tc>
          <w:tcPr>
            <w:tcW w:w="744" w:type="pct"/>
            <w:tcBorders>
              <w:top w:val="nil"/>
              <w:left w:val="nil"/>
              <w:bottom w:val="nil"/>
              <w:right w:val="nil"/>
            </w:tcBorders>
            <w:noWrap/>
            <w:vAlign w:val="center"/>
            <w:hideMark/>
          </w:tcPr>
          <w:p w14:paraId="492EF070" w14:textId="77777777" w:rsidR="00D87550" w:rsidRPr="00ED37EA" w:rsidRDefault="00D87550" w:rsidP="006B7A43">
            <w:pPr>
              <w:spacing w:after="0" w:line="240" w:lineRule="auto"/>
              <w:jc w:val="right"/>
              <w:rPr>
                <w:rFonts w:ascii="Century Schoolbook" w:hAnsi="Century Schoolbook"/>
                <w:b/>
                <w:bCs/>
                <w:i/>
                <w:iCs/>
                <w:color w:val="000000"/>
                <w:sz w:val="20"/>
                <w:szCs w:val="20"/>
                <w:lang w:eastAsia="pt-BR"/>
              </w:rPr>
            </w:pPr>
            <w:r w:rsidRPr="00ED37EA">
              <w:rPr>
                <w:rFonts w:ascii="Century Schoolbook" w:hAnsi="Century Schoolbook"/>
                <w:b/>
                <w:bCs/>
                <w:i/>
                <w:iCs/>
                <w:color w:val="000000"/>
                <w:sz w:val="20"/>
                <w:szCs w:val="20"/>
                <w:lang w:eastAsia="pt-BR"/>
              </w:rPr>
              <w:t>68.343.487</w:t>
            </w:r>
          </w:p>
        </w:tc>
        <w:tc>
          <w:tcPr>
            <w:tcW w:w="710" w:type="pct"/>
            <w:tcBorders>
              <w:top w:val="nil"/>
              <w:left w:val="nil"/>
              <w:bottom w:val="nil"/>
              <w:right w:val="nil"/>
            </w:tcBorders>
            <w:noWrap/>
            <w:vAlign w:val="center"/>
            <w:hideMark/>
          </w:tcPr>
          <w:p w14:paraId="28CAD839" w14:textId="77777777" w:rsidR="00D87550" w:rsidRPr="00ED37EA" w:rsidRDefault="00D87550" w:rsidP="006B7A43">
            <w:pPr>
              <w:spacing w:after="0" w:line="240" w:lineRule="auto"/>
              <w:jc w:val="right"/>
              <w:rPr>
                <w:rFonts w:ascii="Century Schoolbook" w:hAnsi="Century Schoolbook"/>
                <w:b/>
                <w:bCs/>
                <w:i/>
                <w:iCs/>
                <w:color w:val="000000"/>
                <w:sz w:val="20"/>
                <w:szCs w:val="20"/>
                <w:lang w:eastAsia="pt-BR"/>
              </w:rPr>
            </w:pPr>
            <w:r w:rsidRPr="00ED37EA">
              <w:rPr>
                <w:rFonts w:ascii="Century Schoolbook" w:hAnsi="Century Schoolbook"/>
                <w:b/>
                <w:bCs/>
                <w:i/>
                <w:iCs/>
                <w:color w:val="000000"/>
                <w:sz w:val="20"/>
                <w:szCs w:val="20"/>
                <w:lang w:eastAsia="pt-BR"/>
              </w:rPr>
              <w:t>100,00%</w:t>
            </w:r>
          </w:p>
        </w:tc>
      </w:tr>
    </w:tbl>
    <w:p w14:paraId="0D21F390" w14:textId="77777777" w:rsidR="00D87550" w:rsidRPr="007D72B9" w:rsidRDefault="00D87550" w:rsidP="00D87550">
      <w:pPr>
        <w:spacing w:before="120" w:after="120" w:line="360" w:lineRule="auto"/>
        <w:jc w:val="both"/>
        <w:rPr>
          <w:rFonts w:ascii="Century Schoolbook" w:hAnsi="Century Schoolbook"/>
          <w:sz w:val="20"/>
          <w:szCs w:val="20"/>
        </w:rPr>
      </w:pPr>
      <w:r w:rsidRPr="00E9477D">
        <w:rPr>
          <w:noProof/>
          <w:lang w:eastAsia="pt-BR"/>
        </w:rPr>
        <w:drawing>
          <wp:inline distT="0" distB="0" distL="0" distR="0" wp14:anchorId="7A0E37D9" wp14:editId="0E8171E0">
            <wp:extent cx="6707505" cy="2167255"/>
            <wp:effectExtent l="0" t="0" r="0" b="0"/>
            <wp:docPr id="4"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899FA5" w14:textId="77777777" w:rsidR="00D87550" w:rsidRPr="007D72B9" w:rsidRDefault="00D87550" w:rsidP="00D87550">
      <w:pPr>
        <w:spacing w:before="120" w:after="120" w:line="360" w:lineRule="auto"/>
        <w:rPr>
          <w:rFonts w:ascii="Century Schoolbook" w:hAnsi="Century Schoolbook"/>
          <w:b/>
          <w:bCs/>
          <w:sz w:val="20"/>
          <w:szCs w:val="20"/>
        </w:rPr>
      </w:pPr>
      <w:r w:rsidRPr="007D72B9">
        <w:rPr>
          <w:rFonts w:ascii="Century Schoolbook" w:hAnsi="Century Schoolbook"/>
          <w:b/>
          <w:bCs/>
          <w:sz w:val="20"/>
          <w:szCs w:val="20"/>
        </w:rPr>
        <w:t>NOTA 29.1 – Serviços de terceiros</w:t>
      </w:r>
    </w:p>
    <w:p w14:paraId="3CBE6FF5" w14:textId="77777777" w:rsidR="00D87550" w:rsidRDefault="00D87550" w:rsidP="00D87550">
      <w:pPr>
        <w:pStyle w:val="PargrafodaLista"/>
        <w:spacing w:before="120" w:after="120" w:line="360" w:lineRule="auto"/>
        <w:ind w:left="0"/>
        <w:contextualSpacing w:val="0"/>
        <w:jc w:val="both"/>
        <w:rPr>
          <w:rFonts w:ascii="Century Schoolbook" w:hAnsi="Century Schoolbook"/>
          <w:sz w:val="20"/>
          <w:szCs w:val="20"/>
        </w:rPr>
      </w:pPr>
    </w:p>
    <w:p w14:paraId="70D9DCDF" w14:textId="77777777" w:rsidR="00D87550" w:rsidRDefault="00D87550" w:rsidP="00D87550">
      <w:pPr>
        <w:pStyle w:val="PargrafodaLista"/>
        <w:spacing w:before="120" w:after="120" w:line="360" w:lineRule="auto"/>
        <w:ind w:left="0"/>
        <w:contextualSpacing w:val="0"/>
        <w:jc w:val="both"/>
        <w:rPr>
          <w:rFonts w:ascii="Century Schoolbook" w:hAnsi="Century Schoolbook"/>
          <w:sz w:val="20"/>
          <w:szCs w:val="20"/>
        </w:rPr>
      </w:pPr>
      <w:r>
        <w:rPr>
          <w:noProof/>
          <w:lang w:eastAsia="pt-BR"/>
        </w:rPr>
        <w:drawing>
          <wp:anchor distT="12192" distB="8128" distL="126492" distR="127254" simplePos="0" relativeHeight="251659264" behindDoc="1" locked="0" layoutInCell="1" allowOverlap="1" wp14:anchorId="16FA6389" wp14:editId="1EC94B59">
            <wp:simplePos x="0" y="0"/>
            <wp:positionH relativeFrom="column">
              <wp:posOffset>-254</wp:posOffset>
            </wp:positionH>
            <wp:positionV relativeFrom="page">
              <wp:posOffset>3200146</wp:posOffset>
            </wp:positionV>
            <wp:extent cx="6650355" cy="3251200"/>
            <wp:effectExtent l="0" t="0" r="0" b="0"/>
            <wp:wrapTight wrapText="bothSides">
              <wp:wrapPolygon edited="0">
                <wp:start x="0" y="0"/>
                <wp:lineTo x="0" y="21516"/>
                <wp:lineTo x="21594" y="21516"/>
                <wp:lineTo x="21594" y="0"/>
                <wp:lineTo x="0" y="0"/>
              </wp:wrapPolygon>
            </wp:wrapTight>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page">
              <wp14:pctHeight>0</wp14:pctHeight>
            </wp14:sizeRelV>
          </wp:anchor>
        </w:drawing>
      </w:r>
      <w:r w:rsidRPr="007D72B9">
        <w:rPr>
          <w:rFonts w:ascii="Century Schoolbook" w:hAnsi="Century Schoolbook"/>
          <w:sz w:val="20"/>
          <w:szCs w:val="20"/>
        </w:rPr>
        <w:t xml:space="preserve">As despesas gerais e administrativas registraram um aumento percentual global </w:t>
      </w:r>
      <w:r>
        <w:rPr>
          <w:rFonts w:ascii="Century Schoolbook" w:hAnsi="Century Schoolbook"/>
          <w:sz w:val="20"/>
          <w:szCs w:val="20"/>
        </w:rPr>
        <w:t>de</w:t>
      </w:r>
      <w:r w:rsidRPr="007D72B9">
        <w:rPr>
          <w:rFonts w:ascii="Century Schoolbook" w:hAnsi="Century Schoolbook"/>
          <w:sz w:val="20"/>
          <w:szCs w:val="20"/>
        </w:rPr>
        <w:t xml:space="preserve"> </w:t>
      </w:r>
      <w:r>
        <w:rPr>
          <w:rFonts w:ascii="Century Schoolbook" w:hAnsi="Century Schoolbook"/>
          <w:sz w:val="20"/>
          <w:szCs w:val="20"/>
        </w:rPr>
        <w:t>6,95</w:t>
      </w:r>
      <w:r w:rsidRPr="007D72B9">
        <w:rPr>
          <w:rFonts w:ascii="Century Schoolbook" w:hAnsi="Century Schoolbook"/>
          <w:sz w:val="20"/>
          <w:szCs w:val="20"/>
        </w:rPr>
        <w:t xml:space="preserve">% em comparação com o período anterior. Esse incremento foi impulsionado, principalmente, </w:t>
      </w:r>
      <w:r>
        <w:rPr>
          <w:rFonts w:ascii="Century Schoolbook" w:hAnsi="Century Schoolbook"/>
          <w:sz w:val="20"/>
          <w:szCs w:val="20"/>
        </w:rPr>
        <w:t xml:space="preserve">pelo aumento nos serviços tomados de terceiros, que sozinho apresentou aumento de </w:t>
      </w:r>
      <w:r w:rsidRPr="00C40EAE">
        <w:rPr>
          <w:rFonts w:ascii="Century Schoolbook" w:hAnsi="Century Schoolbook"/>
          <w:i/>
          <w:iCs/>
          <w:color w:val="000000"/>
          <w:kern w:val="0"/>
          <w:sz w:val="20"/>
          <w:szCs w:val="20"/>
          <w:lang w:eastAsia="pt-BR"/>
        </w:rPr>
        <w:t>88,</w:t>
      </w:r>
      <w:r>
        <w:rPr>
          <w:rFonts w:ascii="Century Schoolbook" w:hAnsi="Century Schoolbook"/>
          <w:i/>
          <w:iCs/>
          <w:color w:val="000000"/>
          <w:kern w:val="0"/>
          <w:sz w:val="20"/>
          <w:szCs w:val="20"/>
          <w:lang w:eastAsia="pt-BR"/>
        </w:rPr>
        <w:t>41%</w:t>
      </w:r>
      <w:r w:rsidRPr="007D72B9">
        <w:rPr>
          <w:rFonts w:ascii="Century Schoolbook" w:hAnsi="Century Schoolbook"/>
          <w:sz w:val="20"/>
          <w:szCs w:val="20"/>
        </w:rPr>
        <w:t>. Dentre esta categoria de despesas destaca-se os principais pontos quanto ao aumento e as reduções:</w:t>
      </w:r>
    </w:p>
    <w:p w14:paraId="70FB532A" w14:textId="77777777" w:rsidR="00D87550" w:rsidRDefault="00D87550" w:rsidP="00D87550">
      <w:pPr>
        <w:pStyle w:val="PargrafodaLista"/>
        <w:spacing w:before="120" w:after="120" w:line="360" w:lineRule="auto"/>
        <w:ind w:left="0"/>
        <w:contextualSpacing w:val="0"/>
        <w:jc w:val="both"/>
        <w:rPr>
          <w:rFonts w:ascii="Century Schoolbook" w:hAnsi="Century Schoolbook"/>
          <w:sz w:val="20"/>
          <w:szCs w:val="20"/>
        </w:rPr>
      </w:pPr>
      <w:r>
        <w:rPr>
          <w:rFonts w:ascii="Century Schoolbook" w:hAnsi="Century Schoolbook"/>
          <w:sz w:val="20"/>
          <w:szCs w:val="20"/>
        </w:rPr>
        <w:t xml:space="preserve">Além do aumento de despesas já existentes, onde a maioria apresentou variação aumentativa entre 2024 e 2025, durante o exercício houve a assinatura do contrato de </w:t>
      </w:r>
      <w:r>
        <w:rPr>
          <w:rFonts w:ascii="Century Schoolbook" w:hAnsi="Century Schoolbook" w:cs="Calibri"/>
          <w:color w:val="000000"/>
          <w:kern w:val="0"/>
          <w:sz w:val="20"/>
          <w:szCs w:val="20"/>
          <w:lang w:eastAsia="pt-BR"/>
        </w:rPr>
        <w:t>s</w:t>
      </w:r>
      <w:r w:rsidRPr="00235A6F">
        <w:rPr>
          <w:rFonts w:ascii="Century Schoolbook" w:hAnsi="Century Schoolbook" w:cs="Calibri"/>
          <w:color w:val="000000"/>
          <w:kern w:val="0"/>
          <w:sz w:val="20"/>
          <w:szCs w:val="20"/>
          <w:lang w:eastAsia="pt-BR"/>
        </w:rPr>
        <w:t>erviço de vigilância diurno e noturno</w:t>
      </w:r>
      <w:r>
        <w:rPr>
          <w:rFonts w:ascii="Century Schoolbook" w:hAnsi="Century Schoolbook" w:cs="Calibri"/>
          <w:color w:val="000000"/>
          <w:kern w:val="0"/>
          <w:sz w:val="20"/>
          <w:szCs w:val="20"/>
          <w:lang w:eastAsia="pt-BR"/>
        </w:rPr>
        <w:t xml:space="preserve"> firmado com a </w:t>
      </w:r>
      <w:r w:rsidRPr="00835E4C">
        <w:rPr>
          <w:rFonts w:ascii="Century Schoolbook" w:hAnsi="Century Schoolbook" w:cs="Calibri"/>
          <w:color w:val="000000"/>
          <w:kern w:val="0"/>
          <w:sz w:val="20"/>
          <w:szCs w:val="20"/>
          <w:lang w:eastAsia="pt-BR"/>
        </w:rPr>
        <w:t>KCM SERVICOS ESPECIALIZADOS DE LIMPEZA LTDA</w:t>
      </w:r>
      <w:r>
        <w:rPr>
          <w:rFonts w:ascii="Century Schoolbook" w:hAnsi="Century Schoolbook" w:cs="Calibri"/>
          <w:color w:val="000000"/>
          <w:kern w:val="0"/>
          <w:sz w:val="20"/>
          <w:szCs w:val="20"/>
          <w:lang w:eastAsia="pt-BR"/>
        </w:rPr>
        <w:t xml:space="preserve">, que consiste no fornecimento de mão-de-obra para a </w:t>
      </w:r>
      <w:r w:rsidRPr="00835E4C">
        <w:rPr>
          <w:rFonts w:ascii="Century Schoolbook" w:hAnsi="Century Schoolbook" w:cs="Calibri"/>
          <w:color w:val="000000"/>
          <w:kern w:val="0"/>
          <w:sz w:val="20"/>
          <w:szCs w:val="20"/>
          <w:lang w:eastAsia="pt-BR"/>
        </w:rPr>
        <w:t>COMPANHIA DE SANEAMENTO AMBIENTAL DO MARANHAO-CAEMA</w:t>
      </w:r>
      <w:r>
        <w:rPr>
          <w:rFonts w:ascii="Century Schoolbook" w:hAnsi="Century Schoolbook" w:cs="Calibri"/>
          <w:color w:val="000000"/>
          <w:kern w:val="0"/>
          <w:sz w:val="20"/>
          <w:szCs w:val="20"/>
          <w:lang w:eastAsia="pt-BR"/>
        </w:rPr>
        <w:t>.</w:t>
      </w:r>
    </w:p>
    <w:p w14:paraId="74B271B5" w14:textId="77777777" w:rsidR="00D87550" w:rsidRDefault="00D87550" w:rsidP="00D87550">
      <w:pPr>
        <w:spacing w:before="120" w:after="120" w:line="360" w:lineRule="auto"/>
        <w:jc w:val="both"/>
        <w:rPr>
          <w:rFonts w:ascii="Century Schoolbook" w:hAnsi="Century Schoolbook"/>
          <w:b/>
          <w:bCs/>
          <w:sz w:val="20"/>
          <w:szCs w:val="20"/>
        </w:rPr>
      </w:pPr>
    </w:p>
    <w:p w14:paraId="7CC12BE7" w14:textId="77777777" w:rsidR="00D87550" w:rsidRPr="007D72B9" w:rsidRDefault="00D87550" w:rsidP="00D87550">
      <w:pPr>
        <w:spacing w:before="120" w:after="120" w:line="360" w:lineRule="auto"/>
        <w:jc w:val="both"/>
        <w:rPr>
          <w:rFonts w:ascii="Century Schoolbook" w:hAnsi="Century Schoolbook"/>
          <w:sz w:val="20"/>
          <w:szCs w:val="20"/>
        </w:rPr>
      </w:pPr>
      <w:r w:rsidRPr="007D72B9">
        <w:rPr>
          <w:rFonts w:ascii="Century Schoolbook" w:hAnsi="Century Schoolbook"/>
          <w:b/>
          <w:bCs/>
          <w:sz w:val="20"/>
          <w:szCs w:val="20"/>
        </w:rPr>
        <w:t>NOTA 30 – OUTRAS RECEITAS E DESPESAS</w:t>
      </w:r>
    </w:p>
    <w:p w14:paraId="19BE4690" w14:textId="77777777" w:rsidR="00D87550" w:rsidRDefault="00D87550" w:rsidP="00D87550">
      <w:pPr>
        <w:pStyle w:val="PargrafodaLista"/>
        <w:spacing w:before="120" w:after="120" w:line="360" w:lineRule="auto"/>
        <w:ind w:left="0"/>
        <w:contextualSpacing w:val="0"/>
        <w:jc w:val="both"/>
        <w:rPr>
          <w:rFonts w:ascii="Century Schoolbook" w:hAnsi="Century Schoolbook"/>
          <w:sz w:val="20"/>
          <w:szCs w:val="20"/>
        </w:rPr>
      </w:pPr>
    </w:p>
    <w:p w14:paraId="33A5CFB7" w14:textId="77777777" w:rsidR="00D87550" w:rsidRPr="007D72B9" w:rsidRDefault="00D87550" w:rsidP="00D87550">
      <w:pPr>
        <w:pStyle w:val="PargrafodaLista"/>
        <w:spacing w:before="120" w:after="120" w:line="360" w:lineRule="auto"/>
        <w:ind w:left="0"/>
        <w:contextualSpacing w:val="0"/>
        <w:jc w:val="both"/>
        <w:rPr>
          <w:rFonts w:ascii="Century Schoolbook" w:hAnsi="Century Schoolbook"/>
          <w:sz w:val="20"/>
          <w:szCs w:val="20"/>
        </w:rPr>
      </w:pPr>
      <w:r w:rsidRPr="007D72B9">
        <w:rPr>
          <w:rFonts w:ascii="Century Schoolbook" w:hAnsi="Century Schoolbook"/>
          <w:sz w:val="20"/>
          <w:szCs w:val="20"/>
        </w:rPr>
        <w:t xml:space="preserve">Este grupo é destinado ao reconhecimento de ressarcimentos referentes a despesas com funcionários cedidos a outros órgãos da administração pública, assegurando a correta alocação e compensação dos custos envolvidos nesses processos. </w:t>
      </w:r>
    </w:p>
    <w:p w14:paraId="7B1E6B4E" w14:textId="77777777" w:rsidR="00D87550" w:rsidRDefault="00D87550" w:rsidP="00D87550">
      <w:pPr>
        <w:spacing w:before="120" w:after="120" w:line="360" w:lineRule="auto"/>
        <w:jc w:val="both"/>
        <w:rPr>
          <w:rFonts w:ascii="Century Schoolbook" w:hAnsi="Century Schoolbook"/>
          <w:sz w:val="20"/>
          <w:szCs w:val="20"/>
        </w:rPr>
      </w:pPr>
    </w:p>
    <w:p w14:paraId="590788A5" w14:textId="77777777" w:rsidR="00D87550" w:rsidRPr="007D72B9" w:rsidRDefault="00D87550" w:rsidP="00D87550">
      <w:pPr>
        <w:spacing w:before="120" w:after="120" w:line="360" w:lineRule="auto"/>
        <w:jc w:val="both"/>
        <w:rPr>
          <w:rFonts w:ascii="Century Schoolbook" w:hAnsi="Century Schoolbook"/>
          <w:sz w:val="20"/>
          <w:szCs w:val="20"/>
        </w:rPr>
      </w:pPr>
    </w:p>
    <w:p w14:paraId="1111FEC8" w14:textId="77777777" w:rsidR="00D87550" w:rsidRPr="007D72B9" w:rsidRDefault="00D87550" w:rsidP="00D87550">
      <w:pPr>
        <w:pStyle w:val="PargrafodaLista"/>
        <w:spacing w:before="120" w:after="120" w:line="360" w:lineRule="auto"/>
        <w:ind w:left="0"/>
        <w:contextualSpacing w:val="0"/>
        <w:jc w:val="right"/>
        <w:rPr>
          <w:rFonts w:ascii="Century Schoolbook" w:hAnsi="Century Schoolbook"/>
          <w:sz w:val="20"/>
          <w:szCs w:val="20"/>
        </w:rPr>
      </w:pPr>
      <w:r w:rsidRPr="007D72B9">
        <w:rPr>
          <w:rFonts w:ascii="Century Schoolbook" w:hAnsi="Century Schoolbook"/>
          <w:sz w:val="20"/>
          <w:szCs w:val="20"/>
        </w:rPr>
        <w:t>São Luís/MA, 31 de dezembro de 202</w:t>
      </w:r>
      <w:r>
        <w:rPr>
          <w:rFonts w:ascii="Century Schoolbook" w:hAnsi="Century Schoolbook"/>
          <w:sz w:val="20"/>
          <w:szCs w:val="20"/>
        </w:rPr>
        <w:t>5</w:t>
      </w:r>
      <w:r w:rsidRPr="007D72B9">
        <w:rPr>
          <w:rFonts w:ascii="Century Schoolbook" w:hAnsi="Century Schoolbook"/>
          <w:sz w:val="20"/>
          <w:szCs w:val="20"/>
        </w:rPr>
        <w:t>.</w:t>
      </w:r>
    </w:p>
    <w:p w14:paraId="7A67F427" w14:textId="77777777" w:rsidR="00D87550" w:rsidRPr="007D72B9" w:rsidRDefault="00D87550" w:rsidP="00D87550">
      <w:pPr>
        <w:pStyle w:val="PargrafodaLista"/>
        <w:spacing w:before="120" w:after="120" w:line="360" w:lineRule="auto"/>
        <w:ind w:left="0"/>
        <w:contextualSpacing w:val="0"/>
        <w:jc w:val="right"/>
        <w:rPr>
          <w:rFonts w:ascii="Century Schoolbook" w:hAnsi="Century Schoolbook"/>
          <w:sz w:val="20"/>
          <w:szCs w:val="20"/>
        </w:rPr>
      </w:pPr>
    </w:p>
    <w:p w14:paraId="010E7089" w14:textId="77777777" w:rsidR="00D87550" w:rsidRPr="007D72B9" w:rsidRDefault="00D87550" w:rsidP="00D87550">
      <w:pPr>
        <w:pStyle w:val="PargrafodaLista"/>
        <w:spacing w:before="120" w:after="120" w:line="360" w:lineRule="auto"/>
        <w:ind w:left="0"/>
        <w:contextualSpacing w:val="0"/>
        <w:jc w:val="right"/>
        <w:rPr>
          <w:rFonts w:ascii="Century Schoolbook" w:hAnsi="Century Schoolbook"/>
          <w:sz w:val="20"/>
          <w:szCs w:val="20"/>
        </w:rPr>
      </w:pPr>
    </w:p>
    <w:tbl>
      <w:tblPr>
        <w:tblW w:w="5000" w:type="pct"/>
        <w:tblCellMar>
          <w:left w:w="70" w:type="dxa"/>
          <w:right w:w="70" w:type="dxa"/>
        </w:tblCellMar>
        <w:tblLook w:val="04A0" w:firstRow="1" w:lastRow="0" w:firstColumn="1" w:lastColumn="0" w:noHBand="0" w:noVBand="1"/>
      </w:tblPr>
      <w:tblGrid>
        <w:gridCol w:w="4660"/>
        <w:gridCol w:w="147"/>
        <w:gridCol w:w="147"/>
        <w:gridCol w:w="146"/>
        <w:gridCol w:w="146"/>
        <w:gridCol w:w="1289"/>
        <w:gridCol w:w="1309"/>
        <w:gridCol w:w="1310"/>
        <w:gridCol w:w="1312"/>
      </w:tblGrid>
      <w:tr w:rsidR="00D87550" w:rsidRPr="0085445C" w14:paraId="6252B16B" w14:textId="77777777" w:rsidTr="006B7A43">
        <w:trPr>
          <w:trHeight w:val="324"/>
        </w:trPr>
        <w:tc>
          <w:tcPr>
            <w:tcW w:w="2364" w:type="pct"/>
            <w:gridSpan w:val="4"/>
            <w:vMerge w:val="restart"/>
            <w:tcBorders>
              <w:top w:val="nil"/>
              <w:left w:val="nil"/>
              <w:bottom w:val="nil"/>
              <w:right w:val="nil"/>
            </w:tcBorders>
            <w:vAlign w:val="center"/>
            <w:hideMark/>
          </w:tcPr>
          <w:p w14:paraId="21FFEEB2" w14:textId="77777777" w:rsidR="00D87550" w:rsidRPr="0085445C" w:rsidRDefault="00D87550" w:rsidP="006B7A43">
            <w:pPr>
              <w:spacing w:after="0" w:line="240" w:lineRule="auto"/>
              <w:jc w:val="center"/>
              <w:rPr>
                <w:rFonts w:ascii="Century Schoolbook" w:hAnsi="Century Schoolbook" w:cs="Calibri"/>
                <w:color w:val="000000"/>
                <w:sz w:val="16"/>
                <w:szCs w:val="16"/>
                <w:lang w:eastAsia="pt-BR"/>
              </w:rPr>
            </w:pPr>
            <w:r w:rsidRPr="0085445C">
              <w:rPr>
                <w:rFonts w:ascii="Century Schoolbook" w:hAnsi="Century Schoolbook" w:cs="Calibri"/>
                <w:color w:val="000000"/>
                <w:sz w:val="16"/>
                <w:szCs w:val="16"/>
                <w:lang w:eastAsia="pt-BR"/>
              </w:rPr>
              <w:lastRenderedPageBreak/>
              <w:t>RAFAEL DE CARVALHO BORGES</w:t>
            </w:r>
            <w:r w:rsidRPr="0085445C">
              <w:rPr>
                <w:rFonts w:ascii="Century Schoolbook" w:hAnsi="Century Schoolbook" w:cs="Calibri"/>
                <w:color w:val="000000"/>
                <w:sz w:val="16"/>
                <w:szCs w:val="16"/>
                <w:lang w:eastAsia="pt-BR"/>
              </w:rPr>
              <w:br/>
              <w:t>***.</w:t>
            </w:r>
            <w:proofErr w:type="gramStart"/>
            <w:r w:rsidRPr="0085445C">
              <w:rPr>
                <w:rFonts w:ascii="Century Schoolbook" w:hAnsi="Century Schoolbook" w:cs="Calibri"/>
                <w:color w:val="000000"/>
                <w:sz w:val="16"/>
                <w:szCs w:val="16"/>
                <w:lang w:eastAsia="pt-BR"/>
              </w:rPr>
              <w:t>933.*</w:t>
            </w:r>
            <w:proofErr w:type="gramEnd"/>
            <w:r w:rsidRPr="0085445C">
              <w:rPr>
                <w:rFonts w:ascii="Century Schoolbook" w:hAnsi="Century Schoolbook" w:cs="Calibri"/>
                <w:color w:val="000000"/>
                <w:sz w:val="16"/>
                <w:szCs w:val="16"/>
                <w:lang w:eastAsia="pt-BR"/>
              </w:rPr>
              <w:t>**-06</w:t>
            </w:r>
            <w:r w:rsidRPr="0085445C">
              <w:rPr>
                <w:rFonts w:ascii="Century Schoolbook" w:hAnsi="Century Schoolbook" w:cs="Calibri"/>
                <w:color w:val="000000"/>
                <w:sz w:val="16"/>
                <w:szCs w:val="16"/>
                <w:lang w:eastAsia="pt-BR"/>
              </w:rPr>
              <w:br/>
              <w:t>Diretor-presidente</w:t>
            </w:r>
          </w:p>
        </w:tc>
        <w:tc>
          <w:tcPr>
            <w:tcW w:w="73" w:type="pct"/>
            <w:tcBorders>
              <w:top w:val="nil"/>
              <w:left w:val="nil"/>
              <w:bottom w:val="nil"/>
              <w:right w:val="nil"/>
            </w:tcBorders>
            <w:vAlign w:val="center"/>
            <w:hideMark/>
          </w:tcPr>
          <w:p w14:paraId="7274DB9C" w14:textId="77777777" w:rsidR="00D87550" w:rsidRPr="0085445C" w:rsidRDefault="00D87550" w:rsidP="006B7A43">
            <w:pPr>
              <w:spacing w:after="0" w:line="240" w:lineRule="auto"/>
              <w:jc w:val="center"/>
              <w:rPr>
                <w:rFonts w:ascii="Century Schoolbook" w:hAnsi="Century Schoolbook" w:cs="Calibri"/>
                <w:color w:val="000000"/>
                <w:sz w:val="16"/>
                <w:szCs w:val="16"/>
                <w:lang w:eastAsia="pt-BR"/>
              </w:rPr>
            </w:pPr>
          </w:p>
        </w:tc>
        <w:tc>
          <w:tcPr>
            <w:tcW w:w="2563" w:type="pct"/>
            <w:gridSpan w:val="4"/>
            <w:vMerge w:val="restart"/>
            <w:tcBorders>
              <w:top w:val="nil"/>
              <w:left w:val="nil"/>
              <w:bottom w:val="nil"/>
              <w:right w:val="nil"/>
            </w:tcBorders>
            <w:vAlign w:val="center"/>
            <w:hideMark/>
          </w:tcPr>
          <w:p w14:paraId="0819D6D0" w14:textId="77777777" w:rsidR="00D87550" w:rsidRPr="0085445C" w:rsidRDefault="00D87550" w:rsidP="006B7A43">
            <w:pPr>
              <w:spacing w:after="0" w:line="240" w:lineRule="auto"/>
              <w:jc w:val="center"/>
              <w:rPr>
                <w:rFonts w:ascii="Century Schoolbook" w:hAnsi="Century Schoolbook" w:cs="Calibri"/>
                <w:color w:val="000000"/>
                <w:sz w:val="16"/>
                <w:szCs w:val="16"/>
                <w:lang w:eastAsia="pt-BR"/>
              </w:rPr>
            </w:pPr>
            <w:r w:rsidRPr="0085445C">
              <w:rPr>
                <w:rFonts w:ascii="Century Schoolbook" w:hAnsi="Century Schoolbook" w:cs="Calibri"/>
                <w:color w:val="000000"/>
                <w:sz w:val="16"/>
                <w:szCs w:val="16"/>
                <w:lang w:eastAsia="pt-BR"/>
              </w:rPr>
              <w:t>HENRIQUE MORAES BOGEA</w:t>
            </w:r>
            <w:r w:rsidRPr="0085445C">
              <w:rPr>
                <w:rFonts w:ascii="Century Schoolbook" w:hAnsi="Century Schoolbook" w:cs="Calibri"/>
                <w:color w:val="000000"/>
                <w:sz w:val="16"/>
                <w:szCs w:val="16"/>
                <w:lang w:eastAsia="pt-BR"/>
              </w:rPr>
              <w:br/>
              <w:t>***.</w:t>
            </w:r>
            <w:proofErr w:type="gramStart"/>
            <w:r w:rsidRPr="0085445C">
              <w:rPr>
                <w:rFonts w:ascii="Century Schoolbook" w:hAnsi="Century Schoolbook" w:cs="Calibri"/>
                <w:color w:val="000000"/>
                <w:sz w:val="16"/>
                <w:szCs w:val="16"/>
                <w:lang w:eastAsia="pt-BR"/>
              </w:rPr>
              <w:t>309.*</w:t>
            </w:r>
            <w:proofErr w:type="gramEnd"/>
            <w:r w:rsidRPr="0085445C">
              <w:rPr>
                <w:rFonts w:ascii="Century Schoolbook" w:hAnsi="Century Schoolbook" w:cs="Calibri"/>
                <w:color w:val="000000"/>
                <w:sz w:val="16"/>
                <w:szCs w:val="16"/>
                <w:lang w:eastAsia="pt-BR"/>
              </w:rPr>
              <w:t>**-82</w:t>
            </w:r>
            <w:r w:rsidRPr="0085445C">
              <w:rPr>
                <w:rFonts w:ascii="Century Schoolbook" w:hAnsi="Century Schoolbook" w:cs="Calibri"/>
                <w:color w:val="000000"/>
                <w:sz w:val="16"/>
                <w:szCs w:val="16"/>
                <w:lang w:eastAsia="pt-BR"/>
              </w:rPr>
              <w:br/>
              <w:t>Diretor Administrativo-Financeiro</w:t>
            </w:r>
          </w:p>
        </w:tc>
      </w:tr>
      <w:tr w:rsidR="00D87550" w:rsidRPr="0085445C" w14:paraId="441A5E3B" w14:textId="77777777" w:rsidTr="006B7A43">
        <w:trPr>
          <w:trHeight w:val="324"/>
        </w:trPr>
        <w:tc>
          <w:tcPr>
            <w:tcW w:w="2364" w:type="pct"/>
            <w:gridSpan w:val="4"/>
            <w:vMerge/>
            <w:tcBorders>
              <w:top w:val="nil"/>
              <w:left w:val="nil"/>
              <w:bottom w:val="nil"/>
              <w:right w:val="nil"/>
            </w:tcBorders>
            <w:vAlign w:val="center"/>
            <w:hideMark/>
          </w:tcPr>
          <w:p w14:paraId="196D3721" w14:textId="77777777" w:rsidR="00D87550" w:rsidRPr="0085445C" w:rsidRDefault="00D87550" w:rsidP="006B7A43">
            <w:pPr>
              <w:spacing w:after="0" w:line="240" w:lineRule="auto"/>
              <w:rPr>
                <w:rFonts w:ascii="Century Schoolbook" w:hAnsi="Century Schoolbook" w:cs="Calibri"/>
                <w:color w:val="000000"/>
                <w:sz w:val="16"/>
                <w:szCs w:val="16"/>
                <w:lang w:eastAsia="pt-BR"/>
              </w:rPr>
            </w:pPr>
          </w:p>
        </w:tc>
        <w:tc>
          <w:tcPr>
            <w:tcW w:w="73" w:type="pct"/>
            <w:tcBorders>
              <w:top w:val="nil"/>
              <w:left w:val="nil"/>
              <w:bottom w:val="nil"/>
              <w:right w:val="nil"/>
            </w:tcBorders>
            <w:noWrap/>
            <w:vAlign w:val="center"/>
            <w:hideMark/>
          </w:tcPr>
          <w:p w14:paraId="0DE8BDFD" w14:textId="77777777" w:rsidR="00D87550" w:rsidRPr="0085445C" w:rsidRDefault="00D87550" w:rsidP="006B7A43">
            <w:pPr>
              <w:spacing w:after="0" w:line="240" w:lineRule="auto"/>
              <w:jc w:val="center"/>
              <w:rPr>
                <w:rFonts w:ascii="Century Schoolbook" w:hAnsi="Century Schoolbook" w:cs="Calibri"/>
                <w:color w:val="000000"/>
                <w:sz w:val="16"/>
                <w:szCs w:val="16"/>
                <w:lang w:eastAsia="pt-BR"/>
              </w:rPr>
            </w:pPr>
          </w:p>
        </w:tc>
        <w:tc>
          <w:tcPr>
            <w:tcW w:w="2563" w:type="pct"/>
            <w:gridSpan w:val="4"/>
            <w:vMerge/>
            <w:tcBorders>
              <w:top w:val="nil"/>
              <w:left w:val="nil"/>
              <w:bottom w:val="nil"/>
              <w:right w:val="nil"/>
            </w:tcBorders>
            <w:vAlign w:val="center"/>
            <w:hideMark/>
          </w:tcPr>
          <w:p w14:paraId="34CD53F3" w14:textId="77777777" w:rsidR="00D87550" w:rsidRPr="0085445C" w:rsidRDefault="00D87550" w:rsidP="006B7A43">
            <w:pPr>
              <w:spacing w:after="0" w:line="240" w:lineRule="auto"/>
              <w:rPr>
                <w:rFonts w:ascii="Century Schoolbook" w:hAnsi="Century Schoolbook" w:cs="Calibri"/>
                <w:color w:val="000000"/>
                <w:sz w:val="16"/>
                <w:szCs w:val="16"/>
                <w:lang w:eastAsia="pt-BR"/>
              </w:rPr>
            </w:pPr>
          </w:p>
        </w:tc>
      </w:tr>
      <w:tr w:rsidR="00D87550" w:rsidRPr="0085445C" w14:paraId="29AE20B9" w14:textId="77777777" w:rsidTr="006B7A43">
        <w:trPr>
          <w:trHeight w:val="324"/>
        </w:trPr>
        <w:tc>
          <w:tcPr>
            <w:tcW w:w="2364" w:type="pct"/>
            <w:gridSpan w:val="4"/>
            <w:vMerge/>
            <w:tcBorders>
              <w:top w:val="nil"/>
              <w:left w:val="nil"/>
              <w:bottom w:val="nil"/>
              <w:right w:val="nil"/>
            </w:tcBorders>
            <w:vAlign w:val="center"/>
            <w:hideMark/>
          </w:tcPr>
          <w:p w14:paraId="429DC5D1" w14:textId="77777777" w:rsidR="00D87550" w:rsidRPr="0085445C" w:rsidRDefault="00D87550" w:rsidP="006B7A43">
            <w:pPr>
              <w:spacing w:after="0" w:line="240" w:lineRule="auto"/>
              <w:rPr>
                <w:rFonts w:ascii="Century Schoolbook" w:hAnsi="Century Schoolbook" w:cs="Calibri"/>
                <w:color w:val="000000"/>
                <w:sz w:val="16"/>
                <w:szCs w:val="16"/>
                <w:lang w:eastAsia="pt-BR"/>
              </w:rPr>
            </w:pPr>
          </w:p>
        </w:tc>
        <w:tc>
          <w:tcPr>
            <w:tcW w:w="73" w:type="pct"/>
            <w:tcBorders>
              <w:top w:val="nil"/>
              <w:left w:val="nil"/>
              <w:bottom w:val="nil"/>
              <w:right w:val="nil"/>
            </w:tcBorders>
            <w:noWrap/>
            <w:vAlign w:val="center"/>
            <w:hideMark/>
          </w:tcPr>
          <w:p w14:paraId="39BAA83C" w14:textId="77777777" w:rsidR="00D87550" w:rsidRPr="0085445C" w:rsidRDefault="00D87550" w:rsidP="006B7A43">
            <w:pPr>
              <w:spacing w:after="0" w:line="240" w:lineRule="auto"/>
              <w:rPr>
                <w:rFonts w:ascii="Century Schoolbook" w:hAnsi="Century Schoolbook"/>
                <w:sz w:val="16"/>
                <w:szCs w:val="16"/>
                <w:lang w:eastAsia="pt-BR"/>
              </w:rPr>
            </w:pPr>
          </w:p>
        </w:tc>
        <w:tc>
          <w:tcPr>
            <w:tcW w:w="2563" w:type="pct"/>
            <w:gridSpan w:val="4"/>
            <w:vMerge/>
            <w:tcBorders>
              <w:top w:val="nil"/>
              <w:left w:val="nil"/>
              <w:bottom w:val="nil"/>
              <w:right w:val="nil"/>
            </w:tcBorders>
            <w:vAlign w:val="center"/>
            <w:hideMark/>
          </w:tcPr>
          <w:p w14:paraId="48D4E04F" w14:textId="77777777" w:rsidR="00D87550" w:rsidRPr="0085445C" w:rsidRDefault="00D87550" w:rsidP="006B7A43">
            <w:pPr>
              <w:spacing w:after="0" w:line="240" w:lineRule="auto"/>
              <w:rPr>
                <w:rFonts w:ascii="Century Schoolbook" w:hAnsi="Century Schoolbook" w:cs="Calibri"/>
                <w:color w:val="000000"/>
                <w:sz w:val="16"/>
                <w:szCs w:val="16"/>
                <w:lang w:eastAsia="pt-BR"/>
              </w:rPr>
            </w:pPr>
          </w:p>
        </w:tc>
      </w:tr>
      <w:tr w:rsidR="00D87550" w:rsidRPr="0085445C" w14:paraId="39FE2AC4" w14:textId="77777777" w:rsidTr="006B7A43">
        <w:trPr>
          <w:trHeight w:val="324"/>
        </w:trPr>
        <w:tc>
          <w:tcPr>
            <w:tcW w:w="2241" w:type="pct"/>
            <w:tcBorders>
              <w:top w:val="nil"/>
              <w:left w:val="nil"/>
              <w:bottom w:val="nil"/>
              <w:right w:val="nil"/>
            </w:tcBorders>
            <w:noWrap/>
            <w:vAlign w:val="center"/>
            <w:hideMark/>
          </w:tcPr>
          <w:p w14:paraId="182A33DF"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2614C39C"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05A10A19"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0E0D0D11" w14:textId="77777777" w:rsidR="00D87550" w:rsidRPr="0085445C" w:rsidRDefault="00D87550" w:rsidP="006B7A43">
            <w:pPr>
              <w:spacing w:after="0" w:line="240" w:lineRule="auto"/>
              <w:rPr>
                <w:rFonts w:ascii="Century Schoolbook" w:hAnsi="Century Schoolbook"/>
                <w:sz w:val="16"/>
                <w:szCs w:val="16"/>
                <w:lang w:eastAsia="pt-BR"/>
              </w:rPr>
            </w:pPr>
          </w:p>
        </w:tc>
        <w:tc>
          <w:tcPr>
            <w:tcW w:w="73" w:type="pct"/>
            <w:tcBorders>
              <w:top w:val="nil"/>
              <w:left w:val="nil"/>
              <w:bottom w:val="nil"/>
              <w:right w:val="nil"/>
            </w:tcBorders>
            <w:noWrap/>
            <w:vAlign w:val="center"/>
            <w:hideMark/>
          </w:tcPr>
          <w:p w14:paraId="25BB108E" w14:textId="77777777" w:rsidR="00D87550" w:rsidRPr="0085445C" w:rsidRDefault="00D87550" w:rsidP="006B7A43">
            <w:pPr>
              <w:spacing w:after="0" w:line="240" w:lineRule="auto"/>
              <w:rPr>
                <w:rFonts w:ascii="Century Schoolbook" w:hAnsi="Century Schoolbook"/>
                <w:sz w:val="16"/>
                <w:szCs w:val="16"/>
                <w:lang w:eastAsia="pt-BR"/>
              </w:rPr>
            </w:pPr>
          </w:p>
        </w:tc>
        <w:tc>
          <w:tcPr>
            <w:tcW w:w="642" w:type="pct"/>
            <w:tcBorders>
              <w:top w:val="nil"/>
              <w:left w:val="nil"/>
              <w:bottom w:val="nil"/>
              <w:right w:val="nil"/>
            </w:tcBorders>
            <w:noWrap/>
            <w:vAlign w:val="center"/>
            <w:hideMark/>
          </w:tcPr>
          <w:p w14:paraId="1476E716" w14:textId="77777777" w:rsidR="00D87550" w:rsidRPr="0085445C" w:rsidRDefault="00D87550" w:rsidP="006B7A43">
            <w:pPr>
              <w:spacing w:after="0" w:line="240" w:lineRule="auto"/>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308C061E" w14:textId="77777777" w:rsidR="00D87550" w:rsidRPr="0085445C" w:rsidRDefault="00D87550" w:rsidP="006B7A43">
            <w:pPr>
              <w:spacing w:after="0" w:line="240" w:lineRule="auto"/>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06D37F8C" w14:textId="77777777" w:rsidR="00D87550" w:rsidRPr="0085445C" w:rsidRDefault="00D87550" w:rsidP="006B7A43">
            <w:pPr>
              <w:spacing w:after="0" w:line="240" w:lineRule="auto"/>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7AD0DEBE" w14:textId="77777777" w:rsidR="00D87550" w:rsidRPr="0085445C" w:rsidRDefault="00D87550" w:rsidP="006B7A43">
            <w:pPr>
              <w:spacing w:after="0" w:line="240" w:lineRule="auto"/>
              <w:rPr>
                <w:rFonts w:ascii="Century Schoolbook" w:hAnsi="Century Schoolbook"/>
                <w:sz w:val="16"/>
                <w:szCs w:val="16"/>
                <w:lang w:eastAsia="pt-BR"/>
              </w:rPr>
            </w:pPr>
          </w:p>
        </w:tc>
      </w:tr>
      <w:tr w:rsidR="00D87550" w:rsidRPr="0085445C" w14:paraId="16B17F0D" w14:textId="77777777" w:rsidTr="006B7A43">
        <w:trPr>
          <w:trHeight w:val="324"/>
        </w:trPr>
        <w:tc>
          <w:tcPr>
            <w:tcW w:w="2241" w:type="pct"/>
            <w:tcBorders>
              <w:top w:val="nil"/>
              <w:left w:val="nil"/>
              <w:bottom w:val="nil"/>
              <w:right w:val="nil"/>
            </w:tcBorders>
            <w:noWrap/>
            <w:vAlign w:val="center"/>
            <w:hideMark/>
          </w:tcPr>
          <w:p w14:paraId="66BB71E6"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400D7672"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5F85D0D9"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2BAA0214" w14:textId="77777777" w:rsidR="00D87550" w:rsidRPr="0085445C" w:rsidRDefault="00D87550" w:rsidP="006B7A43">
            <w:pPr>
              <w:spacing w:after="0" w:line="240" w:lineRule="auto"/>
              <w:rPr>
                <w:rFonts w:ascii="Century Schoolbook" w:hAnsi="Century Schoolbook"/>
                <w:sz w:val="16"/>
                <w:szCs w:val="16"/>
                <w:lang w:eastAsia="pt-BR"/>
              </w:rPr>
            </w:pPr>
          </w:p>
        </w:tc>
        <w:tc>
          <w:tcPr>
            <w:tcW w:w="73" w:type="pct"/>
            <w:tcBorders>
              <w:top w:val="nil"/>
              <w:left w:val="nil"/>
              <w:bottom w:val="nil"/>
              <w:right w:val="nil"/>
            </w:tcBorders>
            <w:noWrap/>
            <w:vAlign w:val="center"/>
            <w:hideMark/>
          </w:tcPr>
          <w:p w14:paraId="341E8CA9" w14:textId="77777777" w:rsidR="00D87550" w:rsidRPr="0085445C" w:rsidRDefault="00D87550" w:rsidP="006B7A43">
            <w:pPr>
              <w:spacing w:after="0" w:line="240" w:lineRule="auto"/>
              <w:rPr>
                <w:rFonts w:ascii="Century Schoolbook" w:hAnsi="Century Schoolbook"/>
                <w:sz w:val="16"/>
                <w:szCs w:val="16"/>
                <w:lang w:eastAsia="pt-BR"/>
              </w:rPr>
            </w:pPr>
          </w:p>
        </w:tc>
        <w:tc>
          <w:tcPr>
            <w:tcW w:w="642" w:type="pct"/>
            <w:tcBorders>
              <w:top w:val="nil"/>
              <w:left w:val="nil"/>
              <w:bottom w:val="nil"/>
              <w:right w:val="nil"/>
            </w:tcBorders>
            <w:noWrap/>
            <w:vAlign w:val="center"/>
            <w:hideMark/>
          </w:tcPr>
          <w:p w14:paraId="13070F9B" w14:textId="77777777" w:rsidR="00D87550" w:rsidRPr="0085445C" w:rsidRDefault="00D87550" w:rsidP="006B7A43">
            <w:pPr>
              <w:spacing w:after="0" w:line="240" w:lineRule="auto"/>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10EE697B" w14:textId="77777777" w:rsidR="00D87550" w:rsidRPr="0085445C" w:rsidRDefault="00D87550" w:rsidP="006B7A43">
            <w:pPr>
              <w:spacing w:after="0" w:line="240" w:lineRule="auto"/>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255141B1" w14:textId="77777777" w:rsidR="00D87550" w:rsidRPr="0085445C" w:rsidRDefault="00D87550" w:rsidP="006B7A43">
            <w:pPr>
              <w:spacing w:after="0" w:line="240" w:lineRule="auto"/>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3951EB02" w14:textId="77777777" w:rsidR="00D87550" w:rsidRPr="0085445C" w:rsidRDefault="00D87550" w:rsidP="006B7A43">
            <w:pPr>
              <w:spacing w:after="0" w:line="240" w:lineRule="auto"/>
              <w:rPr>
                <w:rFonts w:ascii="Century Schoolbook" w:hAnsi="Century Schoolbook"/>
                <w:sz w:val="16"/>
                <w:szCs w:val="16"/>
                <w:lang w:eastAsia="pt-BR"/>
              </w:rPr>
            </w:pPr>
          </w:p>
        </w:tc>
      </w:tr>
      <w:tr w:rsidR="00D87550" w:rsidRPr="0085445C" w14:paraId="4FE076C6" w14:textId="77777777" w:rsidTr="006B7A43">
        <w:trPr>
          <w:trHeight w:val="324"/>
        </w:trPr>
        <w:tc>
          <w:tcPr>
            <w:tcW w:w="2241" w:type="pct"/>
            <w:tcBorders>
              <w:top w:val="nil"/>
              <w:left w:val="nil"/>
              <w:bottom w:val="nil"/>
              <w:right w:val="nil"/>
            </w:tcBorders>
            <w:noWrap/>
            <w:vAlign w:val="center"/>
            <w:hideMark/>
          </w:tcPr>
          <w:p w14:paraId="3263C89A"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39137C3C"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3B91DDCB"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65F67FF9" w14:textId="77777777" w:rsidR="00D87550" w:rsidRPr="0085445C" w:rsidRDefault="00D87550" w:rsidP="006B7A43">
            <w:pPr>
              <w:spacing w:after="0" w:line="240" w:lineRule="auto"/>
              <w:rPr>
                <w:rFonts w:ascii="Century Schoolbook" w:hAnsi="Century Schoolbook"/>
                <w:sz w:val="16"/>
                <w:szCs w:val="16"/>
                <w:lang w:eastAsia="pt-BR"/>
              </w:rPr>
            </w:pPr>
          </w:p>
        </w:tc>
        <w:tc>
          <w:tcPr>
            <w:tcW w:w="73" w:type="pct"/>
            <w:tcBorders>
              <w:top w:val="nil"/>
              <w:left w:val="nil"/>
              <w:bottom w:val="nil"/>
              <w:right w:val="nil"/>
            </w:tcBorders>
            <w:noWrap/>
            <w:vAlign w:val="center"/>
            <w:hideMark/>
          </w:tcPr>
          <w:p w14:paraId="3C985B62" w14:textId="77777777" w:rsidR="00D87550" w:rsidRPr="0085445C" w:rsidRDefault="00D87550" w:rsidP="006B7A43">
            <w:pPr>
              <w:spacing w:after="0" w:line="240" w:lineRule="auto"/>
              <w:rPr>
                <w:rFonts w:ascii="Century Schoolbook" w:hAnsi="Century Schoolbook"/>
                <w:sz w:val="16"/>
                <w:szCs w:val="16"/>
                <w:lang w:eastAsia="pt-BR"/>
              </w:rPr>
            </w:pPr>
          </w:p>
        </w:tc>
        <w:tc>
          <w:tcPr>
            <w:tcW w:w="642" w:type="pct"/>
            <w:tcBorders>
              <w:top w:val="nil"/>
              <w:left w:val="nil"/>
              <w:bottom w:val="nil"/>
              <w:right w:val="nil"/>
            </w:tcBorders>
            <w:noWrap/>
            <w:vAlign w:val="center"/>
            <w:hideMark/>
          </w:tcPr>
          <w:p w14:paraId="3BF695F8" w14:textId="77777777" w:rsidR="00D87550" w:rsidRPr="0085445C" w:rsidRDefault="00D87550" w:rsidP="006B7A43">
            <w:pPr>
              <w:spacing w:after="0" w:line="240" w:lineRule="auto"/>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7DE41CFD" w14:textId="77777777" w:rsidR="00D87550" w:rsidRPr="0085445C" w:rsidRDefault="00D87550" w:rsidP="006B7A43">
            <w:pPr>
              <w:spacing w:after="0" w:line="240" w:lineRule="auto"/>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33390435" w14:textId="77777777" w:rsidR="00D87550" w:rsidRPr="0085445C" w:rsidRDefault="00D87550" w:rsidP="006B7A43">
            <w:pPr>
              <w:spacing w:after="0" w:line="240" w:lineRule="auto"/>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2D63271E" w14:textId="77777777" w:rsidR="00D87550" w:rsidRPr="0085445C" w:rsidRDefault="00D87550" w:rsidP="006B7A43">
            <w:pPr>
              <w:spacing w:after="0" w:line="240" w:lineRule="auto"/>
              <w:rPr>
                <w:rFonts w:ascii="Century Schoolbook" w:hAnsi="Century Schoolbook"/>
                <w:sz w:val="16"/>
                <w:szCs w:val="16"/>
                <w:lang w:eastAsia="pt-BR"/>
              </w:rPr>
            </w:pPr>
          </w:p>
        </w:tc>
      </w:tr>
      <w:tr w:rsidR="00D87550" w:rsidRPr="0085445C" w14:paraId="052CDA94" w14:textId="77777777" w:rsidTr="006B7A43">
        <w:trPr>
          <w:trHeight w:val="324"/>
        </w:trPr>
        <w:tc>
          <w:tcPr>
            <w:tcW w:w="2241" w:type="pct"/>
            <w:tcBorders>
              <w:top w:val="nil"/>
              <w:left w:val="nil"/>
              <w:bottom w:val="nil"/>
              <w:right w:val="nil"/>
            </w:tcBorders>
            <w:noWrap/>
            <w:vAlign w:val="center"/>
            <w:hideMark/>
          </w:tcPr>
          <w:p w14:paraId="713971B4"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43CBF62F"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02B04338"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3F0F5C2A" w14:textId="77777777" w:rsidR="00D87550" w:rsidRPr="0085445C" w:rsidRDefault="00D87550" w:rsidP="006B7A43">
            <w:pPr>
              <w:spacing w:after="0" w:line="240" w:lineRule="auto"/>
              <w:rPr>
                <w:rFonts w:ascii="Century Schoolbook" w:hAnsi="Century Schoolbook"/>
                <w:sz w:val="16"/>
                <w:szCs w:val="16"/>
                <w:lang w:eastAsia="pt-BR"/>
              </w:rPr>
            </w:pPr>
          </w:p>
        </w:tc>
        <w:tc>
          <w:tcPr>
            <w:tcW w:w="73" w:type="pct"/>
            <w:tcBorders>
              <w:top w:val="nil"/>
              <w:left w:val="nil"/>
              <w:bottom w:val="nil"/>
              <w:right w:val="nil"/>
            </w:tcBorders>
            <w:noWrap/>
            <w:vAlign w:val="center"/>
            <w:hideMark/>
          </w:tcPr>
          <w:p w14:paraId="4B4F802A" w14:textId="77777777" w:rsidR="00D87550" w:rsidRPr="0085445C" w:rsidRDefault="00D87550" w:rsidP="006B7A43">
            <w:pPr>
              <w:spacing w:after="0" w:line="240" w:lineRule="auto"/>
              <w:rPr>
                <w:rFonts w:ascii="Century Schoolbook" w:hAnsi="Century Schoolbook"/>
                <w:sz w:val="16"/>
                <w:szCs w:val="16"/>
                <w:lang w:eastAsia="pt-BR"/>
              </w:rPr>
            </w:pPr>
          </w:p>
        </w:tc>
        <w:tc>
          <w:tcPr>
            <w:tcW w:w="642" w:type="pct"/>
            <w:tcBorders>
              <w:top w:val="nil"/>
              <w:left w:val="nil"/>
              <w:bottom w:val="nil"/>
              <w:right w:val="nil"/>
            </w:tcBorders>
            <w:noWrap/>
            <w:vAlign w:val="center"/>
            <w:hideMark/>
          </w:tcPr>
          <w:p w14:paraId="43F4B1FC" w14:textId="77777777" w:rsidR="00D87550" w:rsidRPr="0085445C" w:rsidRDefault="00D87550" w:rsidP="006B7A43">
            <w:pPr>
              <w:spacing w:after="0" w:line="240" w:lineRule="auto"/>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1D5CEB83" w14:textId="77777777" w:rsidR="00D87550" w:rsidRPr="0085445C" w:rsidRDefault="00D87550" w:rsidP="006B7A43">
            <w:pPr>
              <w:spacing w:after="0" w:line="240" w:lineRule="auto"/>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10C3C7B3" w14:textId="77777777" w:rsidR="00D87550" w:rsidRPr="0085445C" w:rsidRDefault="00D87550" w:rsidP="006B7A43">
            <w:pPr>
              <w:spacing w:after="0" w:line="240" w:lineRule="auto"/>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41D0DFF7" w14:textId="77777777" w:rsidR="00D87550" w:rsidRPr="0085445C" w:rsidRDefault="00D87550" w:rsidP="006B7A43">
            <w:pPr>
              <w:spacing w:after="0" w:line="240" w:lineRule="auto"/>
              <w:rPr>
                <w:rFonts w:ascii="Century Schoolbook" w:hAnsi="Century Schoolbook"/>
                <w:sz w:val="16"/>
                <w:szCs w:val="16"/>
                <w:lang w:eastAsia="pt-BR"/>
              </w:rPr>
            </w:pPr>
          </w:p>
        </w:tc>
      </w:tr>
      <w:tr w:rsidR="00D87550" w:rsidRPr="0085445C" w14:paraId="614F165F" w14:textId="77777777" w:rsidTr="006B7A43">
        <w:trPr>
          <w:trHeight w:val="324"/>
        </w:trPr>
        <w:tc>
          <w:tcPr>
            <w:tcW w:w="2364" w:type="pct"/>
            <w:gridSpan w:val="4"/>
            <w:vMerge w:val="restart"/>
            <w:tcBorders>
              <w:top w:val="nil"/>
              <w:left w:val="nil"/>
              <w:bottom w:val="nil"/>
              <w:right w:val="nil"/>
            </w:tcBorders>
            <w:vAlign w:val="center"/>
            <w:hideMark/>
          </w:tcPr>
          <w:p w14:paraId="24CA1D0F" w14:textId="77777777" w:rsidR="00D87550" w:rsidRPr="0085445C" w:rsidRDefault="00D87550" w:rsidP="006B7A43">
            <w:pPr>
              <w:spacing w:after="0" w:line="240" w:lineRule="auto"/>
              <w:jc w:val="center"/>
              <w:rPr>
                <w:rFonts w:ascii="Century Schoolbook" w:hAnsi="Century Schoolbook" w:cs="Calibri"/>
                <w:color w:val="000000"/>
                <w:sz w:val="16"/>
                <w:szCs w:val="16"/>
                <w:lang w:eastAsia="pt-BR"/>
              </w:rPr>
            </w:pPr>
            <w:r w:rsidRPr="0085445C">
              <w:rPr>
                <w:rFonts w:ascii="Century Schoolbook" w:hAnsi="Century Schoolbook" w:cs="Calibri"/>
                <w:color w:val="000000"/>
                <w:sz w:val="16"/>
                <w:szCs w:val="16"/>
                <w:lang w:eastAsia="pt-BR"/>
              </w:rPr>
              <w:t>ANÍBAL VERRI PINHEIRO</w:t>
            </w:r>
            <w:r w:rsidRPr="0085445C">
              <w:rPr>
                <w:rFonts w:ascii="Century Schoolbook" w:hAnsi="Century Schoolbook" w:cs="Calibri"/>
                <w:color w:val="000000"/>
                <w:sz w:val="16"/>
                <w:szCs w:val="16"/>
                <w:lang w:eastAsia="pt-BR"/>
              </w:rPr>
              <w:br/>
              <w:t>***.</w:t>
            </w:r>
            <w:proofErr w:type="gramStart"/>
            <w:r w:rsidRPr="0085445C">
              <w:rPr>
                <w:rFonts w:ascii="Century Schoolbook" w:hAnsi="Century Schoolbook" w:cs="Calibri"/>
                <w:color w:val="000000"/>
                <w:sz w:val="16"/>
                <w:szCs w:val="16"/>
                <w:lang w:eastAsia="pt-BR"/>
              </w:rPr>
              <w:t>689.*</w:t>
            </w:r>
            <w:proofErr w:type="gramEnd"/>
            <w:r w:rsidRPr="0085445C">
              <w:rPr>
                <w:rFonts w:ascii="Century Schoolbook" w:hAnsi="Century Schoolbook" w:cs="Calibri"/>
                <w:color w:val="000000"/>
                <w:sz w:val="16"/>
                <w:szCs w:val="16"/>
                <w:lang w:eastAsia="pt-BR"/>
              </w:rPr>
              <w:t>**-63</w:t>
            </w:r>
            <w:r w:rsidRPr="0085445C">
              <w:rPr>
                <w:rFonts w:ascii="Century Schoolbook" w:hAnsi="Century Schoolbook" w:cs="Calibri"/>
                <w:color w:val="000000"/>
                <w:sz w:val="16"/>
                <w:szCs w:val="16"/>
                <w:lang w:eastAsia="pt-BR"/>
              </w:rPr>
              <w:br/>
              <w:t>Diretor de Parcerias e Negócios Imobiliários</w:t>
            </w:r>
          </w:p>
        </w:tc>
        <w:tc>
          <w:tcPr>
            <w:tcW w:w="73" w:type="pct"/>
            <w:tcBorders>
              <w:top w:val="nil"/>
              <w:left w:val="nil"/>
              <w:bottom w:val="nil"/>
              <w:right w:val="nil"/>
            </w:tcBorders>
            <w:noWrap/>
            <w:vAlign w:val="center"/>
            <w:hideMark/>
          </w:tcPr>
          <w:p w14:paraId="78C99240" w14:textId="77777777" w:rsidR="00D87550" w:rsidRPr="0085445C" w:rsidRDefault="00D87550" w:rsidP="006B7A43">
            <w:pPr>
              <w:spacing w:after="0" w:line="240" w:lineRule="auto"/>
              <w:jc w:val="center"/>
              <w:rPr>
                <w:rFonts w:ascii="Century Schoolbook" w:hAnsi="Century Schoolbook" w:cs="Calibri"/>
                <w:color w:val="000000"/>
                <w:sz w:val="16"/>
                <w:szCs w:val="16"/>
                <w:lang w:eastAsia="pt-BR"/>
              </w:rPr>
            </w:pPr>
          </w:p>
        </w:tc>
        <w:tc>
          <w:tcPr>
            <w:tcW w:w="2563" w:type="pct"/>
            <w:gridSpan w:val="4"/>
            <w:vMerge w:val="restart"/>
            <w:tcBorders>
              <w:top w:val="nil"/>
              <w:left w:val="nil"/>
              <w:bottom w:val="nil"/>
              <w:right w:val="nil"/>
            </w:tcBorders>
            <w:vAlign w:val="center"/>
            <w:hideMark/>
          </w:tcPr>
          <w:p w14:paraId="67FC9E3A" w14:textId="77777777" w:rsidR="00D87550" w:rsidRPr="0085445C" w:rsidRDefault="00D87550" w:rsidP="006B7A43">
            <w:pPr>
              <w:spacing w:after="0" w:line="240" w:lineRule="auto"/>
              <w:jc w:val="center"/>
              <w:rPr>
                <w:rFonts w:ascii="Century Schoolbook" w:hAnsi="Century Schoolbook" w:cs="Calibri"/>
                <w:color w:val="000000"/>
                <w:sz w:val="16"/>
                <w:szCs w:val="16"/>
                <w:lang w:eastAsia="pt-BR"/>
              </w:rPr>
            </w:pPr>
            <w:r>
              <w:rPr>
                <w:rFonts w:ascii="Century Schoolbook" w:hAnsi="Century Schoolbook" w:cs="Calibri"/>
                <w:color w:val="000000"/>
                <w:sz w:val="16"/>
                <w:szCs w:val="16"/>
                <w:lang w:eastAsia="pt-BR"/>
              </w:rPr>
              <w:t>HERNAIRA HELENA DO BONFIM LOIOLA</w:t>
            </w:r>
            <w:r w:rsidRPr="0085445C">
              <w:rPr>
                <w:rFonts w:ascii="Century Schoolbook" w:hAnsi="Century Schoolbook" w:cs="Calibri"/>
                <w:color w:val="000000"/>
                <w:sz w:val="16"/>
                <w:szCs w:val="16"/>
                <w:lang w:eastAsia="pt-BR"/>
              </w:rPr>
              <w:br/>
              <w:t>***.</w:t>
            </w:r>
            <w:proofErr w:type="gramStart"/>
            <w:r>
              <w:rPr>
                <w:rFonts w:ascii="Century Schoolbook" w:hAnsi="Century Schoolbook" w:cs="Calibri"/>
                <w:color w:val="000000"/>
                <w:sz w:val="16"/>
                <w:szCs w:val="16"/>
                <w:lang w:eastAsia="pt-BR"/>
              </w:rPr>
              <w:t>604</w:t>
            </w:r>
            <w:r w:rsidRPr="0085445C">
              <w:rPr>
                <w:rFonts w:ascii="Century Schoolbook" w:hAnsi="Century Schoolbook" w:cs="Calibri"/>
                <w:color w:val="000000"/>
                <w:sz w:val="16"/>
                <w:szCs w:val="16"/>
                <w:lang w:eastAsia="pt-BR"/>
              </w:rPr>
              <w:t>.*</w:t>
            </w:r>
            <w:proofErr w:type="gramEnd"/>
            <w:r w:rsidRPr="0085445C">
              <w:rPr>
                <w:rFonts w:ascii="Century Schoolbook" w:hAnsi="Century Schoolbook" w:cs="Calibri"/>
                <w:color w:val="000000"/>
                <w:sz w:val="16"/>
                <w:szCs w:val="16"/>
                <w:lang w:eastAsia="pt-BR"/>
              </w:rPr>
              <w:t>**-</w:t>
            </w:r>
            <w:r>
              <w:rPr>
                <w:rFonts w:ascii="Century Schoolbook" w:hAnsi="Century Schoolbook" w:cs="Calibri"/>
                <w:color w:val="000000"/>
                <w:sz w:val="16"/>
                <w:szCs w:val="16"/>
                <w:lang w:eastAsia="pt-BR"/>
              </w:rPr>
              <w:t>33</w:t>
            </w:r>
            <w:r w:rsidRPr="0085445C">
              <w:rPr>
                <w:rFonts w:ascii="Century Schoolbook" w:hAnsi="Century Schoolbook" w:cs="Calibri"/>
                <w:color w:val="000000"/>
                <w:sz w:val="16"/>
                <w:szCs w:val="16"/>
                <w:lang w:eastAsia="pt-BR"/>
              </w:rPr>
              <w:br/>
              <w:t>Diretor de Negócios Mobiliários e Serviços</w:t>
            </w:r>
          </w:p>
        </w:tc>
      </w:tr>
      <w:tr w:rsidR="00D87550" w:rsidRPr="0085445C" w14:paraId="3079606B" w14:textId="77777777" w:rsidTr="006B7A43">
        <w:trPr>
          <w:trHeight w:val="324"/>
        </w:trPr>
        <w:tc>
          <w:tcPr>
            <w:tcW w:w="2364" w:type="pct"/>
            <w:gridSpan w:val="4"/>
            <w:vMerge/>
            <w:tcBorders>
              <w:top w:val="nil"/>
              <w:left w:val="nil"/>
              <w:bottom w:val="nil"/>
              <w:right w:val="nil"/>
            </w:tcBorders>
            <w:vAlign w:val="center"/>
            <w:hideMark/>
          </w:tcPr>
          <w:p w14:paraId="321A2BA8" w14:textId="77777777" w:rsidR="00D87550" w:rsidRPr="0085445C" w:rsidRDefault="00D87550" w:rsidP="006B7A43">
            <w:pPr>
              <w:spacing w:after="0" w:line="240" w:lineRule="auto"/>
              <w:rPr>
                <w:rFonts w:ascii="Century Schoolbook" w:hAnsi="Century Schoolbook" w:cs="Calibri"/>
                <w:color w:val="000000"/>
                <w:sz w:val="16"/>
                <w:szCs w:val="16"/>
                <w:lang w:eastAsia="pt-BR"/>
              </w:rPr>
            </w:pPr>
          </w:p>
        </w:tc>
        <w:tc>
          <w:tcPr>
            <w:tcW w:w="73" w:type="pct"/>
            <w:tcBorders>
              <w:top w:val="nil"/>
              <w:left w:val="nil"/>
              <w:bottom w:val="nil"/>
              <w:right w:val="nil"/>
            </w:tcBorders>
            <w:noWrap/>
            <w:vAlign w:val="center"/>
            <w:hideMark/>
          </w:tcPr>
          <w:p w14:paraId="31098A26" w14:textId="77777777" w:rsidR="00D87550" w:rsidRPr="0085445C" w:rsidRDefault="00D87550" w:rsidP="006B7A43">
            <w:pPr>
              <w:spacing w:after="0" w:line="240" w:lineRule="auto"/>
              <w:jc w:val="center"/>
              <w:rPr>
                <w:rFonts w:ascii="Century Schoolbook" w:hAnsi="Century Schoolbook" w:cs="Calibri"/>
                <w:color w:val="000000"/>
                <w:sz w:val="16"/>
                <w:szCs w:val="16"/>
                <w:lang w:eastAsia="pt-BR"/>
              </w:rPr>
            </w:pPr>
          </w:p>
        </w:tc>
        <w:tc>
          <w:tcPr>
            <w:tcW w:w="2563" w:type="pct"/>
            <w:gridSpan w:val="4"/>
            <w:vMerge/>
            <w:tcBorders>
              <w:top w:val="nil"/>
              <w:left w:val="nil"/>
              <w:bottom w:val="nil"/>
              <w:right w:val="nil"/>
            </w:tcBorders>
            <w:vAlign w:val="center"/>
            <w:hideMark/>
          </w:tcPr>
          <w:p w14:paraId="56059D88" w14:textId="77777777" w:rsidR="00D87550" w:rsidRPr="0085445C" w:rsidRDefault="00D87550" w:rsidP="006B7A43">
            <w:pPr>
              <w:spacing w:after="0" w:line="240" w:lineRule="auto"/>
              <w:rPr>
                <w:rFonts w:ascii="Century Schoolbook" w:hAnsi="Century Schoolbook" w:cs="Calibri"/>
                <w:color w:val="000000"/>
                <w:sz w:val="16"/>
                <w:szCs w:val="16"/>
                <w:lang w:eastAsia="pt-BR"/>
              </w:rPr>
            </w:pPr>
          </w:p>
        </w:tc>
      </w:tr>
      <w:tr w:rsidR="00D87550" w:rsidRPr="0085445C" w14:paraId="4966B1E0" w14:textId="77777777" w:rsidTr="006B7A43">
        <w:trPr>
          <w:trHeight w:val="324"/>
        </w:trPr>
        <w:tc>
          <w:tcPr>
            <w:tcW w:w="2364" w:type="pct"/>
            <w:gridSpan w:val="4"/>
            <w:vMerge/>
            <w:tcBorders>
              <w:top w:val="nil"/>
              <w:left w:val="nil"/>
              <w:bottom w:val="nil"/>
              <w:right w:val="nil"/>
            </w:tcBorders>
            <w:vAlign w:val="center"/>
            <w:hideMark/>
          </w:tcPr>
          <w:p w14:paraId="3B74C5EF" w14:textId="77777777" w:rsidR="00D87550" w:rsidRPr="0085445C" w:rsidRDefault="00D87550" w:rsidP="006B7A43">
            <w:pPr>
              <w:spacing w:after="0" w:line="240" w:lineRule="auto"/>
              <w:rPr>
                <w:rFonts w:ascii="Century Schoolbook" w:hAnsi="Century Schoolbook" w:cs="Calibri"/>
                <w:color w:val="000000"/>
                <w:sz w:val="16"/>
                <w:szCs w:val="16"/>
                <w:lang w:eastAsia="pt-BR"/>
              </w:rPr>
            </w:pPr>
          </w:p>
        </w:tc>
        <w:tc>
          <w:tcPr>
            <w:tcW w:w="73" w:type="pct"/>
            <w:tcBorders>
              <w:top w:val="nil"/>
              <w:left w:val="nil"/>
              <w:bottom w:val="nil"/>
              <w:right w:val="nil"/>
            </w:tcBorders>
            <w:noWrap/>
            <w:vAlign w:val="center"/>
            <w:hideMark/>
          </w:tcPr>
          <w:p w14:paraId="09DA2C3B" w14:textId="77777777" w:rsidR="00D87550" w:rsidRPr="0085445C" w:rsidRDefault="00D87550" w:rsidP="006B7A43">
            <w:pPr>
              <w:spacing w:after="0" w:line="240" w:lineRule="auto"/>
              <w:rPr>
                <w:rFonts w:ascii="Century Schoolbook" w:hAnsi="Century Schoolbook"/>
                <w:sz w:val="16"/>
                <w:szCs w:val="16"/>
                <w:lang w:eastAsia="pt-BR"/>
              </w:rPr>
            </w:pPr>
          </w:p>
        </w:tc>
        <w:tc>
          <w:tcPr>
            <w:tcW w:w="2563" w:type="pct"/>
            <w:gridSpan w:val="4"/>
            <w:vMerge/>
            <w:tcBorders>
              <w:top w:val="nil"/>
              <w:left w:val="nil"/>
              <w:bottom w:val="nil"/>
              <w:right w:val="nil"/>
            </w:tcBorders>
            <w:vAlign w:val="center"/>
            <w:hideMark/>
          </w:tcPr>
          <w:p w14:paraId="11DF9513" w14:textId="77777777" w:rsidR="00D87550" w:rsidRPr="0085445C" w:rsidRDefault="00D87550" w:rsidP="006B7A43">
            <w:pPr>
              <w:spacing w:after="0" w:line="240" w:lineRule="auto"/>
              <w:rPr>
                <w:rFonts w:ascii="Century Schoolbook" w:hAnsi="Century Schoolbook" w:cs="Calibri"/>
                <w:color w:val="000000"/>
                <w:sz w:val="16"/>
                <w:szCs w:val="16"/>
                <w:lang w:eastAsia="pt-BR"/>
              </w:rPr>
            </w:pPr>
          </w:p>
        </w:tc>
      </w:tr>
      <w:tr w:rsidR="00D87550" w:rsidRPr="0085445C" w14:paraId="66F45723" w14:textId="77777777" w:rsidTr="006B7A43">
        <w:trPr>
          <w:trHeight w:val="324"/>
        </w:trPr>
        <w:tc>
          <w:tcPr>
            <w:tcW w:w="2241" w:type="pct"/>
            <w:tcBorders>
              <w:top w:val="nil"/>
              <w:left w:val="nil"/>
              <w:bottom w:val="nil"/>
              <w:right w:val="nil"/>
            </w:tcBorders>
            <w:vAlign w:val="center"/>
            <w:hideMark/>
          </w:tcPr>
          <w:p w14:paraId="03C2AC28"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5E531C79" w14:textId="77777777" w:rsidR="00D87550" w:rsidRPr="0085445C" w:rsidRDefault="00D87550" w:rsidP="006B7A43">
            <w:pPr>
              <w:spacing w:after="0" w:line="240" w:lineRule="auto"/>
              <w:jc w:val="right"/>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357832A9" w14:textId="77777777" w:rsidR="00D87550" w:rsidRPr="0085445C" w:rsidRDefault="00D87550" w:rsidP="006B7A43">
            <w:pPr>
              <w:spacing w:after="0" w:line="240" w:lineRule="auto"/>
              <w:jc w:val="center"/>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5F3C5C07" w14:textId="77777777" w:rsidR="00D87550" w:rsidRPr="0085445C" w:rsidRDefault="00D87550" w:rsidP="006B7A43">
            <w:pPr>
              <w:spacing w:after="0" w:line="240" w:lineRule="auto"/>
              <w:jc w:val="center"/>
              <w:rPr>
                <w:rFonts w:ascii="Century Schoolbook" w:hAnsi="Century Schoolbook"/>
                <w:sz w:val="16"/>
                <w:szCs w:val="16"/>
                <w:lang w:eastAsia="pt-BR"/>
              </w:rPr>
            </w:pPr>
          </w:p>
        </w:tc>
        <w:tc>
          <w:tcPr>
            <w:tcW w:w="73" w:type="pct"/>
            <w:tcBorders>
              <w:top w:val="nil"/>
              <w:left w:val="nil"/>
              <w:bottom w:val="nil"/>
              <w:right w:val="nil"/>
            </w:tcBorders>
            <w:vAlign w:val="center"/>
            <w:hideMark/>
          </w:tcPr>
          <w:p w14:paraId="29A36232" w14:textId="77777777" w:rsidR="00D87550" w:rsidRPr="0085445C" w:rsidRDefault="00D87550" w:rsidP="006B7A43">
            <w:pPr>
              <w:spacing w:after="0" w:line="240" w:lineRule="auto"/>
              <w:jc w:val="center"/>
              <w:rPr>
                <w:rFonts w:ascii="Century Schoolbook" w:hAnsi="Century Schoolbook"/>
                <w:sz w:val="16"/>
                <w:szCs w:val="16"/>
                <w:lang w:eastAsia="pt-BR"/>
              </w:rPr>
            </w:pPr>
          </w:p>
        </w:tc>
        <w:tc>
          <w:tcPr>
            <w:tcW w:w="642" w:type="pct"/>
            <w:tcBorders>
              <w:top w:val="nil"/>
              <w:left w:val="nil"/>
              <w:bottom w:val="nil"/>
              <w:right w:val="nil"/>
            </w:tcBorders>
            <w:noWrap/>
            <w:vAlign w:val="center"/>
            <w:hideMark/>
          </w:tcPr>
          <w:p w14:paraId="7BFACFFB" w14:textId="77777777" w:rsidR="00D87550" w:rsidRPr="0085445C" w:rsidRDefault="00D87550" w:rsidP="006B7A43">
            <w:pPr>
              <w:spacing w:after="0" w:line="240" w:lineRule="auto"/>
              <w:jc w:val="center"/>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6009DCBF" w14:textId="77777777" w:rsidR="00D87550" w:rsidRPr="0085445C" w:rsidRDefault="00D87550" w:rsidP="006B7A43">
            <w:pPr>
              <w:spacing w:after="0" w:line="240" w:lineRule="auto"/>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7566824C" w14:textId="77777777" w:rsidR="00D87550" w:rsidRPr="0085445C" w:rsidRDefault="00D87550" w:rsidP="006B7A43">
            <w:pPr>
              <w:spacing w:after="0" w:line="240" w:lineRule="auto"/>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78A18190" w14:textId="77777777" w:rsidR="00D87550" w:rsidRPr="0085445C" w:rsidRDefault="00D87550" w:rsidP="006B7A43">
            <w:pPr>
              <w:spacing w:after="0" w:line="240" w:lineRule="auto"/>
              <w:rPr>
                <w:rFonts w:ascii="Century Schoolbook" w:hAnsi="Century Schoolbook"/>
                <w:sz w:val="16"/>
                <w:szCs w:val="16"/>
                <w:lang w:eastAsia="pt-BR"/>
              </w:rPr>
            </w:pPr>
          </w:p>
        </w:tc>
      </w:tr>
      <w:tr w:rsidR="00D87550" w:rsidRPr="0085445C" w14:paraId="1E47904B" w14:textId="77777777" w:rsidTr="006B7A43">
        <w:trPr>
          <w:trHeight w:val="324"/>
        </w:trPr>
        <w:tc>
          <w:tcPr>
            <w:tcW w:w="2241" w:type="pct"/>
            <w:tcBorders>
              <w:top w:val="nil"/>
              <w:left w:val="nil"/>
              <w:bottom w:val="nil"/>
              <w:right w:val="nil"/>
            </w:tcBorders>
            <w:vAlign w:val="center"/>
            <w:hideMark/>
          </w:tcPr>
          <w:p w14:paraId="46BFD439"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483D67DF"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76C6B5B1"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403545C8" w14:textId="77777777" w:rsidR="00D87550" w:rsidRPr="0085445C" w:rsidRDefault="00D87550" w:rsidP="006B7A43">
            <w:pPr>
              <w:spacing w:after="0" w:line="240" w:lineRule="auto"/>
              <w:rPr>
                <w:rFonts w:ascii="Century Schoolbook" w:hAnsi="Century Schoolbook"/>
                <w:sz w:val="16"/>
                <w:szCs w:val="16"/>
                <w:lang w:eastAsia="pt-BR"/>
              </w:rPr>
            </w:pPr>
          </w:p>
        </w:tc>
        <w:tc>
          <w:tcPr>
            <w:tcW w:w="73" w:type="pct"/>
            <w:tcBorders>
              <w:top w:val="nil"/>
              <w:left w:val="nil"/>
              <w:bottom w:val="nil"/>
              <w:right w:val="nil"/>
            </w:tcBorders>
            <w:vAlign w:val="center"/>
            <w:hideMark/>
          </w:tcPr>
          <w:p w14:paraId="56C2D482" w14:textId="77777777" w:rsidR="00D87550" w:rsidRPr="0085445C" w:rsidRDefault="00D87550" w:rsidP="006B7A43">
            <w:pPr>
              <w:spacing w:after="0" w:line="240" w:lineRule="auto"/>
              <w:rPr>
                <w:rFonts w:ascii="Century Schoolbook" w:hAnsi="Century Schoolbook"/>
                <w:sz w:val="16"/>
                <w:szCs w:val="16"/>
                <w:lang w:eastAsia="pt-BR"/>
              </w:rPr>
            </w:pPr>
          </w:p>
        </w:tc>
        <w:tc>
          <w:tcPr>
            <w:tcW w:w="642" w:type="pct"/>
            <w:tcBorders>
              <w:top w:val="nil"/>
              <w:left w:val="nil"/>
              <w:bottom w:val="nil"/>
              <w:right w:val="nil"/>
            </w:tcBorders>
            <w:noWrap/>
            <w:vAlign w:val="center"/>
            <w:hideMark/>
          </w:tcPr>
          <w:p w14:paraId="0B5F6AAD" w14:textId="77777777" w:rsidR="00D87550" w:rsidRPr="0085445C" w:rsidRDefault="00D87550" w:rsidP="006B7A43">
            <w:pPr>
              <w:spacing w:after="0" w:line="240" w:lineRule="auto"/>
              <w:jc w:val="right"/>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668C3474" w14:textId="77777777" w:rsidR="00D87550" w:rsidRPr="0085445C" w:rsidRDefault="00D87550" w:rsidP="006B7A43">
            <w:pPr>
              <w:spacing w:after="0" w:line="240" w:lineRule="auto"/>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2BC53C87" w14:textId="77777777" w:rsidR="00D87550" w:rsidRPr="0085445C" w:rsidRDefault="00D87550" w:rsidP="006B7A43">
            <w:pPr>
              <w:spacing w:after="0" w:line="240" w:lineRule="auto"/>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48AFE095" w14:textId="77777777" w:rsidR="00D87550" w:rsidRPr="0085445C" w:rsidRDefault="00D87550" w:rsidP="006B7A43">
            <w:pPr>
              <w:spacing w:after="0" w:line="240" w:lineRule="auto"/>
              <w:rPr>
                <w:rFonts w:ascii="Century Schoolbook" w:hAnsi="Century Schoolbook"/>
                <w:sz w:val="16"/>
                <w:szCs w:val="16"/>
                <w:lang w:eastAsia="pt-BR"/>
              </w:rPr>
            </w:pPr>
          </w:p>
        </w:tc>
      </w:tr>
      <w:tr w:rsidR="00D87550" w:rsidRPr="0085445C" w14:paraId="0CD78C1E" w14:textId="77777777" w:rsidTr="006B7A43">
        <w:trPr>
          <w:trHeight w:val="324"/>
        </w:trPr>
        <w:tc>
          <w:tcPr>
            <w:tcW w:w="2241" w:type="pct"/>
            <w:tcBorders>
              <w:top w:val="nil"/>
              <w:left w:val="nil"/>
              <w:bottom w:val="nil"/>
              <w:right w:val="nil"/>
            </w:tcBorders>
            <w:vAlign w:val="center"/>
            <w:hideMark/>
          </w:tcPr>
          <w:p w14:paraId="3A7750C2"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0E61EF35"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5E2277BA"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6B58129A" w14:textId="77777777" w:rsidR="00D87550" w:rsidRPr="0085445C" w:rsidRDefault="00D87550" w:rsidP="006B7A43">
            <w:pPr>
              <w:spacing w:after="0" w:line="240" w:lineRule="auto"/>
              <w:rPr>
                <w:rFonts w:ascii="Century Schoolbook" w:hAnsi="Century Schoolbook"/>
                <w:sz w:val="16"/>
                <w:szCs w:val="16"/>
                <w:lang w:eastAsia="pt-BR"/>
              </w:rPr>
            </w:pPr>
          </w:p>
        </w:tc>
        <w:tc>
          <w:tcPr>
            <w:tcW w:w="73" w:type="pct"/>
            <w:tcBorders>
              <w:top w:val="nil"/>
              <w:left w:val="nil"/>
              <w:bottom w:val="nil"/>
              <w:right w:val="nil"/>
            </w:tcBorders>
            <w:vAlign w:val="center"/>
            <w:hideMark/>
          </w:tcPr>
          <w:p w14:paraId="2CCE9DB3" w14:textId="77777777" w:rsidR="00D87550" w:rsidRPr="0085445C" w:rsidRDefault="00D87550" w:rsidP="006B7A43">
            <w:pPr>
              <w:spacing w:after="0" w:line="240" w:lineRule="auto"/>
              <w:rPr>
                <w:rFonts w:ascii="Century Schoolbook" w:hAnsi="Century Schoolbook"/>
                <w:sz w:val="16"/>
                <w:szCs w:val="16"/>
                <w:lang w:eastAsia="pt-BR"/>
              </w:rPr>
            </w:pPr>
          </w:p>
        </w:tc>
        <w:tc>
          <w:tcPr>
            <w:tcW w:w="642" w:type="pct"/>
            <w:tcBorders>
              <w:top w:val="nil"/>
              <w:left w:val="nil"/>
              <w:bottom w:val="nil"/>
              <w:right w:val="nil"/>
            </w:tcBorders>
            <w:noWrap/>
            <w:vAlign w:val="center"/>
            <w:hideMark/>
          </w:tcPr>
          <w:p w14:paraId="0D84AA55" w14:textId="77777777" w:rsidR="00D87550" w:rsidRPr="0085445C" w:rsidRDefault="00D87550" w:rsidP="006B7A43">
            <w:pPr>
              <w:spacing w:after="0" w:line="240" w:lineRule="auto"/>
              <w:jc w:val="right"/>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35872B3D" w14:textId="77777777" w:rsidR="00D87550" w:rsidRPr="0085445C" w:rsidRDefault="00D87550" w:rsidP="006B7A43">
            <w:pPr>
              <w:spacing w:after="0" w:line="240" w:lineRule="auto"/>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1D928B05" w14:textId="77777777" w:rsidR="00D87550" w:rsidRPr="0085445C" w:rsidRDefault="00D87550" w:rsidP="006B7A43">
            <w:pPr>
              <w:spacing w:after="0" w:line="240" w:lineRule="auto"/>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19EBF9B6" w14:textId="77777777" w:rsidR="00D87550" w:rsidRPr="0085445C" w:rsidRDefault="00D87550" w:rsidP="006B7A43">
            <w:pPr>
              <w:spacing w:after="0" w:line="240" w:lineRule="auto"/>
              <w:rPr>
                <w:rFonts w:ascii="Century Schoolbook" w:hAnsi="Century Schoolbook"/>
                <w:sz w:val="16"/>
                <w:szCs w:val="16"/>
                <w:lang w:eastAsia="pt-BR"/>
              </w:rPr>
            </w:pPr>
          </w:p>
        </w:tc>
      </w:tr>
      <w:tr w:rsidR="00D87550" w:rsidRPr="0085445C" w14:paraId="22CDBF62" w14:textId="77777777" w:rsidTr="006B7A43">
        <w:trPr>
          <w:trHeight w:val="324"/>
        </w:trPr>
        <w:tc>
          <w:tcPr>
            <w:tcW w:w="2241" w:type="pct"/>
            <w:tcBorders>
              <w:top w:val="nil"/>
              <w:left w:val="nil"/>
              <w:bottom w:val="nil"/>
              <w:right w:val="nil"/>
            </w:tcBorders>
            <w:vAlign w:val="center"/>
            <w:hideMark/>
          </w:tcPr>
          <w:p w14:paraId="44271BF0"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2B679324"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3F849476"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5C40382D" w14:textId="77777777" w:rsidR="00D87550" w:rsidRPr="0085445C" w:rsidRDefault="00D87550" w:rsidP="006B7A43">
            <w:pPr>
              <w:spacing w:after="0" w:line="240" w:lineRule="auto"/>
              <w:rPr>
                <w:rFonts w:ascii="Century Schoolbook" w:hAnsi="Century Schoolbook"/>
                <w:sz w:val="16"/>
                <w:szCs w:val="16"/>
                <w:lang w:eastAsia="pt-BR"/>
              </w:rPr>
            </w:pPr>
          </w:p>
        </w:tc>
        <w:tc>
          <w:tcPr>
            <w:tcW w:w="73" w:type="pct"/>
            <w:tcBorders>
              <w:top w:val="nil"/>
              <w:left w:val="nil"/>
              <w:bottom w:val="nil"/>
              <w:right w:val="nil"/>
            </w:tcBorders>
            <w:vAlign w:val="center"/>
            <w:hideMark/>
          </w:tcPr>
          <w:p w14:paraId="26B7F0DD" w14:textId="77777777" w:rsidR="00D87550" w:rsidRPr="0085445C" w:rsidRDefault="00D87550" w:rsidP="006B7A43">
            <w:pPr>
              <w:spacing w:after="0" w:line="240" w:lineRule="auto"/>
              <w:rPr>
                <w:rFonts w:ascii="Century Schoolbook" w:hAnsi="Century Schoolbook"/>
                <w:sz w:val="16"/>
                <w:szCs w:val="16"/>
                <w:lang w:eastAsia="pt-BR"/>
              </w:rPr>
            </w:pPr>
          </w:p>
        </w:tc>
        <w:tc>
          <w:tcPr>
            <w:tcW w:w="642" w:type="pct"/>
            <w:tcBorders>
              <w:top w:val="nil"/>
              <w:left w:val="nil"/>
              <w:bottom w:val="nil"/>
              <w:right w:val="nil"/>
            </w:tcBorders>
            <w:noWrap/>
            <w:vAlign w:val="center"/>
            <w:hideMark/>
          </w:tcPr>
          <w:p w14:paraId="79A011F1" w14:textId="77777777" w:rsidR="00D87550" w:rsidRPr="0085445C" w:rsidRDefault="00D87550" w:rsidP="006B7A43">
            <w:pPr>
              <w:spacing w:after="0" w:line="240" w:lineRule="auto"/>
              <w:jc w:val="right"/>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0CDD4B95" w14:textId="77777777" w:rsidR="00D87550" w:rsidRPr="0085445C" w:rsidRDefault="00D87550" w:rsidP="006B7A43">
            <w:pPr>
              <w:spacing w:after="0" w:line="240" w:lineRule="auto"/>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20A93E84" w14:textId="77777777" w:rsidR="00D87550" w:rsidRPr="0085445C" w:rsidRDefault="00D87550" w:rsidP="006B7A43">
            <w:pPr>
              <w:spacing w:after="0" w:line="240" w:lineRule="auto"/>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17D007F3" w14:textId="77777777" w:rsidR="00D87550" w:rsidRPr="0085445C" w:rsidRDefault="00D87550" w:rsidP="006B7A43">
            <w:pPr>
              <w:spacing w:after="0" w:line="240" w:lineRule="auto"/>
              <w:rPr>
                <w:rFonts w:ascii="Century Schoolbook" w:hAnsi="Century Schoolbook"/>
                <w:sz w:val="16"/>
                <w:szCs w:val="16"/>
                <w:lang w:eastAsia="pt-BR"/>
              </w:rPr>
            </w:pPr>
          </w:p>
        </w:tc>
      </w:tr>
      <w:tr w:rsidR="00D87550" w:rsidRPr="0085445C" w14:paraId="2B7ECCB4" w14:textId="77777777" w:rsidTr="006B7A43">
        <w:trPr>
          <w:trHeight w:val="324"/>
        </w:trPr>
        <w:tc>
          <w:tcPr>
            <w:tcW w:w="2364" w:type="pct"/>
            <w:gridSpan w:val="4"/>
            <w:vMerge w:val="restart"/>
            <w:tcBorders>
              <w:top w:val="nil"/>
              <w:left w:val="nil"/>
              <w:bottom w:val="nil"/>
              <w:right w:val="nil"/>
            </w:tcBorders>
            <w:vAlign w:val="center"/>
            <w:hideMark/>
          </w:tcPr>
          <w:p w14:paraId="4A33DEBA" w14:textId="77777777" w:rsidR="00D87550" w:rsidRPr="0085445C" w:rsidRDefault="00D87550" w:rsidP="006B7A43">
            <w:pPr>
              <w:spacing w:after="0" w:line="240" w:lineRule="auto"/>
              <w:jc w:val="center"/>
              <w:rPr>
                <w:rFonts w:ascii="Century Schoolbook" w:hAnsi="Century Schoolbook" w:cs="Calibri"/>
                <w:color w:val="000000"/>
                <w:sz w:val="16"/>
                <w:szCs w:val="16"/>
                <w:lang w:eastAsia="pt-BR"/>
              </w:rPr>
            </w:pPr>
            <w:r w:rsidRPr="0085445C">
              <w:rPr>
                <w:rFonts w:ascii="Century Schoolbook" w:hAnsi="Century Schoolbook" w:cs="Calibri"/>
                <w:color w:val="000000"/>
                <w:sz w:val="16"/>
                <w:szCs w:val="16"/>
                <w:lang w:eastAsia="pt-BR"/>
              </w:rPr>
              <w:t>FERNANDO AUGUSTO COELHO DE ARAUJO LOUSEIRO</w:t>
            </w:r>
            <w:r w:rsidRPr="0085445C">
              <w:rPr>
                <w:rFonts w:ascii="Century Schoolbook" w:hAnsi="Century Schoolbook" w:cs="Calibri"/>
                <w:color w:val="000000"/>
                <w:sz w:val="16"/>
                <w:szCs w:val="16"/>
                <w:lang w:eastAsia="pt-BR"/>
              </w:rPr>
              <w:br/>
              <w:t>***.</w:t>
            </w:r>
            <w:proofErr w:type="gramStart"/>
            <w:r>
              <w:rPr>
                <w:rFonts w:ascii="Century Schoolbook" w:hAnsi="Century Schoolbook" w:cs="Calibri"/>
                <w:color w:val="000000"/>
                <w:sz w:val="16"/>
                <w:szCs w:val="16"/>
                <w:lang w:eastAsia="pt-BR"/>
              </w:rPr>
              <w:t>675</w:t>
            </w:r>
            <w:r w:rsidRPr="0085445C">
              <w:rPr>
                <w:rFonts w:ascii="Century Schoolbook" w:hAnsi="Century Schoolbook" w:cs="Calibri"/>
                <w:color w:val="000000"/>
                <w:sz w:val="16"/>
                <w:szCs w:val="16"/>
                <w:lang w:eastAsia="pt-BR"/>
              </w:rPr>
              <w:t>.*</w:t>
            </w:r>
            <w:proofErr w:type="gramEnd"/>
            <w:r w:rsidRPr="0085445C">
              <w:rPr>
                <w:rFonts w:ascii="Century Schoolbook" w:hAnsi="Century Schoolbook" w:cs="Calibri"/>
                <w:color w:val="000000"/>
                <w:sz w:val="16"/>
                <w:szCs w:val="16"/>
                <w:lang w:eastAsia="pt-BR"/>
              </w:rPr>
              <w:t>**-</w:t>
            </w:r>
            <w:r>
              <w:rPr>
                <w:rFonts w:ascii="Century Schoolbook" w:hAnsi="Century Schoolbook" w:cs="Calibri"/>
                <w:color w:val="000000"/>
                <w:sz w:val="16"/>
                <w:szCs w:val="16"/>
                <w:lang w:eastAsia="pt-BR"/>
              </w:rPr>
              <w:t>0</w:t>
            </w:r>
            <w:r w:rsidRPr="0085445C">
              <w:rPr>
                <w:rFonts w:ascii="Century Schoolbook" w:hAnsi="Century Schoolbook" w:cs="Calibri"/>
                <w:color w:val="000000"/>
                <w:sz w:val="16"/>
                <w:szCs w:val="16"/>
                <w:lang w:eastAsia="pt-BR"/>
              </w:rPr>
              <w:t>4</w:t>
            </w:r>
            <w:r w:rsidRPr="0085445C">
              <w:rPr>
                <w:rFonts w:ascii="Century Schoolbook" w:hAnsi="Century Schoolbook" w:cs="Calibri"/>
                <w:color w:val="000000"/>
                <w:sz w:val="16"/>
                <w:szCs w:val="16"/>
                <w:lang w:eastAsia="pt-BR"/>
              </w:rPr>
              <w:br/>
              <w:t>Diretor de Loterias</w:t>
            </w:r>
          </w:p>
        </w:tc>
        <w:tc>
          <w:tcPr>
            <w:tcW w:w="73" w:type="pct"/>
            <w:tcBorders>
              <w:top w:val="nil"/>
              <w:left w:val="nil"/>
              <w:bottom w:val="nil"/>
              <w:right w:val="nil"/>
            </w:tcBorders>
            <w:vAlign w:val="center"/>
            <w:hideMark/>
          </w:tcPr>
          <w:p w14:paraId="42F47464" w14:textId="77777777" w:rsidR="00D87550" w:rsidRPr="0085445C" w:rsidRDefault="00D87550" w:rsidP="006B7A43">
            <w:pPr>
              <w:spacing w:after="0" w:line="240" w:lineRule="auto"/>
              <w:jc w:val="center"/>
              <w:rPr>
                <w:rFonts w:ascii="Century Schoolbook" w:hAnsi="Century Schoolbook" w:cs="Calibri"/>
                <w:color w:val="000000"/>
                <w:sz w:val="16"/>
                <w:szCs w:val="16"/>
                <w:lang w:eastAsia="pt-BR"/>
              </w:rPr>
            </w:pPr>
          </w:p>
        </w:tc>
        <w:tc>
          <w:tcPr>
            <w:tcW w:w="2563" w:type="pct"/>
            <w:gridSpan w:val="4"/>
            <w:vMerge w:val="restart"/>
            <w:tcBorders>
              <w:top w:val="nil"/>
              <w:left w:val="nil"/>
              <w:bottom w:val="nil"/>
              <w:right w:val="nil"/>
            </w:tcBorders>
            <w:vAlign w:val="center"/>
            <w:hideMark/>
          </w:tcPr>
          <w:p w14:paraId="3721EC9B" w14:textId="77777777" w:rsidR="00D87550" w:rsidRPr="0085445C" w:rsidRDefault="00D87550" w:rsidP="006B7A43">
            <w:pPr>
              <w:spacing w:after="0" w:line="240" w:lineRule="auto"/>
              <w:jc w:val="center"/>
              <w:rPr>
                <w:rFonts w:ascii="Century Schoolbook" w:hAnsi="Century Schoolbook" w:cs="Calibri"/>
                <w:color w:val="000000"/>
                <w:sz w:val="16"/>
                <w:szCs w:val="16"/>
                <w:lang w:eastAsia="pt-BR"/>
              </w:rPr>
            </w:pPr>
            <w:r w:rsidRPr="0085445C">
              <w:rPr>
                <w:rFonts w:ascii="Century Schoolbook" w:hAnsi="Century Schoolbook" w:cs="Calibri"/>
                <w:color w:val="000000"/>
                <w:sz w:val="16"/>
                <w:szCs w:val="16"/>
                <w:lang w:eastAsia="pt-BR"/>
              </w:rPr>
              <w:t>GLERISSON ARAUJO GOMES</w:t>
            </w:r>
            <w:r w:rsidRPr="0085445C">
              <w:rPr>
                <w:rFonts w:ascii="Century Schoolbook" w:hAnsi="Century Schoolbook" w:cs="Calibri"/>
                <w:color w:val="000000"/>
                <w:sz w:val="16"/>
                <w:szCs w:val="16"/>
                <w:lang w:eastAsia="pt-BR"/>
              </w:rPr>
              <w:br/>
              <w:t>CRC Nº 12485/O-3</w:t>
            </w:r>
            <w:r w:rsidRPr="0085445C">
              <w:rPr>
                <w:rFonts w:ascii="Century Schoolbook" w:hAnsi="Century Schoolbook" w:cs="Calibri"/>
                <w:color w:val="000000"/>
                <w:sz w:val="16"/>
                <w:szCs w:val="16"/>
                <w:lang w:eastAsia="pt-BR"/>
              </w:rPr>
              <w:br/>
              <w:t>Contador</w:t>
            </w:r>
          </w:p>
        </w:tc>
      </w:tr>
      <w:tr w:rsidR="00D87550" w:rsidRPr="0085445C" w14:paraId="1F74D4C0" w14:textId="77777777" w:rsidTr="006B7A43">
        <w:trPr>
          <w:trHeight w:val="324"/>
        </w:trPr>
        <w:tc>
          <w:tcPr>
            <w:tcW w:w="2364" w:type="pct"/>
            <w:gridSpan w:val="4"/>
            <w:vMerge/>
            <w:tcBorders>
              <w:top w:val="nil"/>
              <w:left w:val="nil"/>
              <w:bottom w:val="nil"/>
              <w:right w:val="nil"/>
            </w:tcBorders>
            <w:vAlign w:val="center"/>
            <w:hideMark/>
          </w:tcPr>
          <w:p w14:paraId="3A7FD96D" w14:textId="77777777" w:rsidR="00D87550" w:rsidRPr="0085445C" w:rsidRDefault="00D87550" w:rsidP="006B7A43">
            <w:pPr>
              <w:spacing w:after="0" w:line="240" w:lineRule="auto"/>
              <w:rPr>
                <w:rFonts w:ascii="Century Schoolbook" w:hAnsi="Century Schoolbook" w:cs="Calibri"/>
                <w:color w:val="000000"/>
                <w:sz w:val="16"/>
                <w:szCs w:val="16"/>
                <w:lang w:eastAsia="pt-BR"/>
              </w:rPr>
            </w:pPr>
          </w:p>
        </w:tc>
        <w:tc>
          <w:tcPr>
            <w:tcW w:w="73" w:type="pct"/>
            <w:tcBorders>
              <w:top w:val="nil"/>
              <w:left w:val="nil"/>
              <w:bottom w:val="nil"/>
              <w:right w:val="nil"/>
            </w:tcBorders>
            <w:vAlign w:val="center"/>
            <w:hideMark/>
          </w:tcPr>
          <w:p w14:paraId="55C501BD" w14:textId="77777777" w:rsidR="00D87550" w:rsidRPr="0085445C" w:rsidRDefault="00D87550" w:rsidP="006B7A43">
            <w:pPr>
              <w:spacing w:after="0" w:line="240" w:lineRule="auto"/>
              <w:jc w:val="center"/>
              <w:rPr>
                <w:rFonts w:ascii="Century Schoolbook" w:hAnsi="Century Schoolbook" w:cs="Calibri"/>
                <w:color w:val="000000"/>
                <w:sz w:val="16"/>
                <w:szCs w:val="16"/>
                <w:lang w:eastAsia="pt-BR"/>
              </w:rPr>
            </w:pPr>
          </w:p>
        </w:tc>
        <w:tc>
          <w:tcPr>
            <w:tcW w:w="2563" w:type="pct"/>
            <w:gridSpan w:val="4"/>
            <w:vMerge/>
            <w:tcBorders>
              <w:top w:val="nil"/>
              <w:left w:val="nil"/>
              <w:bottom w:val="nil"/>
              <w:right w:val="nil"/>
            </w:tcBorders>
            <w:vAlign w:val="center"/>
            <w:hideMark/>
          </w:tcPr>
          <w:p w14:paraId="01E09305" w14:textId="77777777" w:rsidR="00D87550" w:rsidRPr="0085445C" w:rsidRDefault="00D87550" w:rsidP="006B7A43">
            <w:pPr>
              <w:spacing w:after="0" w:line="240" w:lineRule="auto"/>
              <w:rPr>
                <w:rFonts w:ascii="Century Schoolbook" w:hAnsi="Century Schoolbook" w:cs="Calibri"/>
                <w:color w:val="000000"/>
                <w:sz w:val="16"/>
                <w:szCs w:val="16"/>
                <w:lang w:eastAsia="pt-BR"/>
              </w:rPr>
            </w:pPr>
          </w:p>
        </w:tc>
      </w:tr>
      <w:tr w:rsidR="00D87550" w:rsidRPr="0085445C" w14:paraId="1D616E0F" w14:textId="77777777" w:rsidTr="006B7A43">
        <w:trPr>
          <w:trHeight w:val="324"/>
        </w:trPr>
        <w:tc>
          <w:tcPr>
            <w:tcW w:w="2364" w:type="pct"/>
            <w:gridSpan w:val="4"/>
            <w:vMerge/>
            <w:tcBorders>
              <w:top w:val="nil"/>
              <w:left w:val="nil"/>
              <w:bottom w:val="nil"/>
              <w:right w:val="nil"/>
            </w:tcBorders>
            <w:vAlign w:val="center"/>
            <w:hideMark/>
          </w:tcPr>
          <w:p w14:paraId="60128A7D" w14:textId="77777777" w:rsidR="00D87550" w:rsidRPr="0085445C" w:rsidRDefault="00D87550" w:rsidP="006B7A43">
            <w:pPr>
              <w:spacing w:after="0" w:line="240" w:lineRule="auto"/>
              <w:rPr>
                <w:rFonts w:ascii="Century Schoolbook" w:hAnsi="Century Schoolbook" w:cs="Calibri"/>
                <w:color w:val="000000"/>
                <w:sz w:val="16"/>
                <w:szCs w:val="16"/>
                <w:lang w:eastAsia="pt-BR"/>
              </w:rPr>
            </w:pPr>
          </w:p>
        </w:tc>
        <w:tc>
          <w:tcPr>
            <w:tcW w:w="73" w:type="pct"/>
            <w:tcBorders>
              <w:top w:val="nil"/>
              <w:left w:val="nil"/>
              <w:bottom w:val="nil"/>
              <w:right w:val="nil"/>
            </w:tcBorders>
            <w:vAlign w:val="center"/>
            <w:hideMark/>
          </w:tcPr>
          <w:p w14:paraId="4257CBDB" w14:textId="77777777" w:rsidR="00D87550" w:rsidRPr="0085445C" w:rsidRDefault="00D87550" w:rsidP="006B7A43">
            <w:pPr>
              <w:spacing w:after="0" w:line="240" w:lineRule="auto"/>
              <w:jc w:val="right"/>
              <w:rPr>
                <w:rFonts w:ascii="Century Schoolbook" w:hAnsi="Century Schoolbook"/>
                <w:sz w:val="16"/>
                <w:szCs w:val="16"/>
                <w:lang w:eastAsia="pt-BR"/>
              </w:rPr>
            </w:pPr>
          </w:p>
        </w:tc>
        <w:tc>
          <w:tcPr>
            <w:tcW w:w="2563" w:type="pct"/>
            <w:gridSpan w:val="4"/>
            <w:vMerge/>
            <w:tcBorders>
              <w:top w:val="nil"/>
              <w:left w:val="nil"/>
              <w:bottom w:val="nil"/>
              <w:right w:val="nil"/>
            </w:tcBorders>
            <w:vAlign w:val="center"/>
            <w:hideMark/>
          </w:tcPr>
          <w:p w14:paraId="3D34605C" w14:textId="77777777" w:rsidR="00D87550" w:rsidRPr="0085445C" w:rsidRDefault="00D87550" w:rsidP="006B7A43">
            <w:pPr>
              <w:spacing w:after="0" w:line="240" w:lineRule="auto"/>
              <w:rPr>
                <w:rFonts w:ascii="Century Schoolbook" w:hAnsi="Century Schoolbook" w:cs="Calibri"/>
                <w:color w:val="000000"/>
                <w:sz w:val="16"/>
                <w:szCs w:val="16"/>
                <w:lang w:eastAsia="pt-BR"/>
              </w:rPr>
            </w:pPr>
          </w:p>
        </w:tc>
      </w:tr>
      <w:tr w:rsidR="00D87550" w:rsidRPr="0085445C" w14:paraId="783F55A7" w14:textId="77777777" w:rsidTr="006B7A43">
        <w:trPr>
          <w:trHeight w:val="324"/>
        </w:trPr>
        <w:tc>
          <w:tcPr>
            <w:tcW w:w="2241" w:type="pct"/>
            <w:tcBorders>
              <w:top w:val="nil"/>
              <w:left w:val="nil"/>
              <w:bottom w:val="nil"/>
              <w:right w:val="nil"/>
            </w:tcBorders>
            <w:vAlign w:val="center"/>
            <w:hideMark/>
          </w:tcPr>
          <w:p w14:paraId="3DC7F79D" w14:textId="77777777" w:rsidR="00D87550" w:rsidRPr="0085445C" w:rsidRDefault="00D87550" w:rsidP="006B7A43">
            <w:pPr>
              <w:spacing w:after="0" w:line="240" w:lineRule="auto"/>
              <w:jc w:val="right"/>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3B73046C"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467D7A87" w14:textId="77777777" w:rsidR="00D87550" w:rsidRPr="0085445C" w:rsidRDefault="00D87550" w:rsidP="006B7A43">
            <w:pPr>
              <w:spacing w:after="0" w:line="240" w:lineRule="auto"/>
              <w:rPr>
                <w:rFonts w:ascii="Century Schoolbook" w:hAnsi="Century Schoolbook"/>
                <w:sz w:val="16"/>
                <w:szCs w:val="16"/>
                <w:lang w:eastAsia="pt-BR"/>
              </w:rPr>
            </w:pPr>
          </w:p>
        </w:tc>
        <w:tc>
          <w:tcPr>
            <w:tcW w:w="41" w:type="pct"/>
            <w:tcBorders>
              <w:top w:val="nil"/>
              <w:left w:val="nil"/>
              <w:bottom w:val="nil"/>
              <w:right w:val="nil"/>
            </w:tcBorders>
            <w:noWrap/>
            <w:vAlign w:val="center"/>
            <w:hideMark/>
          </w:tcPr>
          <w:p w14:paraId="56D257F8" w14:textId="77777777" w:rsidR="00D87550" w:rsidRPr="0085445C" w:rsidRDefault="00D87550" w:rsidP="006B7A43">
            <w:pPr>
              <w:spacing w:after="0" w:line="240" w:lineRule="auto"/>
              <w:rPr>
                <w:rFonts w:ascii="Century Schoolbook" w:hAnsi="Century Schoolbook"/>
                <w:sz w:val="16"/>
                <w:szCs w:val="16"/>
                <w:lang w:eastAsia="pt-BR"/>
              </w:rPr>
            </w:pPr>
          </w:p>
        </w:tc>
        <w:tc>
          <w:tcPr>
            <w:tcW w:w="73" w:type="pct"/>
            <w:tcBorders>
              <w:top w:val="nil"/>
              <w:left w:val="nil"/>
              <w:bottom w:val="nil"/>
              <w:right w:val="nil"/>
            </w:tcBorders>
            <w:vAlign w:val="center"/>
            <w:hideMark/>
          </w:tcPr>
          <w:p w14:paraId="5E85B782" w14:textId="77777777" w:rsidR="00D87550" w:rsidRPr="0085445C" w:rsidRDefault="00D87550" w:rsidP="006B7A43">
            <w:pPr>
              <w:spacing w:after="0" w:line="240" w:lineRule="auto"/>
              <w:rPr>
                <w:rFonts w:ascii="Century Schoolbook" w:hAnsi="Century Schoolbook"/>
                <w:sz w:val="16"/>
                <w:szCs w:val="16"/>
                <w:lang w:eastAsia="pt-BR"/>
              </w:rPr>
            </w:pPr>
          </w:p>
        </w:tc>
        <w:tc>
          <w:tcPr>
            <w:tcW w:w="642" w:type="pct"/>
            <w:tcBorders>
              <w:top w:val="nil"/>
              <w:left w:val="nil"/>
              <w:bottom w:val="nil"/>
              <w:right w:val="nil"/>
            </w:tcBorders>
            <w:noWrap/>
            <w:vAlign w:val="center"/>
            <w:hideMark/>
          </w:tcPr>
          <w:p w14:paraId="4ADDDE14" w14:textId="77777777" w:rsidR="00D87550" w:rsidRPr="0085445C" w:rsidRDefault="00D87550" w:rsidP="006B7A43">
            <w:pPr>
              <w:spacing w:after="0" w:line="240" w:lineRule="auto"/>
              <w:jc w:val="right"/>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3C9D75AA" w14:textId="77777777" w:rsidR="00D87550" w:rsidRPr="0085445C" w:rsidRDefault="00D87550" w:rsidP="006B7A43">
            <w:pPr>
              <w:spacing w:after="0" w:line="240" w:lineRule="auto"/>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7FB7D0C6" w14:textId="77777777" w:rsidR="00D87550" w:rsidRPr="0085445C" w:rsidRDefault="00D87550" w:rsidP="006B7A43">
            <w:pPr>
              <w:spacing w:after="0" w:line="240" w:lineRule="auto"/>
              <w:rPr>
                <w:rFonts w:ascii="Century Schoolbook" w:hAnsi="Century Schoolbook"/>
                <w:sz w:val="16"/>
                <w:szCs w:val="16"/>
                <w:lang w:eastAsia="pt-BR"/>
              </w:rPr>
            </w:pPr>
          </w:p>
        </w:tc>
        <w:tc>
          <w:tcPr>
            <w:tcW w:w="640" w:type="pct"/>
            <w:tcBorders>
              <w:top w:val="nil"/>
              <w:left w:val="nil"/>
              <w:bottom w:val="nil"/>
              <w:right w:val="nil"/>
            </w:tcBorders>
            <w:noWrap/>
            <w:vAlign w:val="center"/>
            <w:hideMark/>
          </w:tcPr>
          <w:p w14:paraId="49D129D9" w14:textId="77777777" w:rsidR="00D87550" w:rsidRPr="0085445C" w:rsidRDefault="00D87550" w:rsidP="006B7A43">
            <w:pPr>
              <w:spacing w:after="0" w:line="240" w:lineRule="auto"/>
              <w:rPr>
                <w:rFonts w:ascii="Century Schoolbook" w:hAnsi="Century Schoolbook"/>
                <w:sz w:val="16"/>
                <w:szCs w:val="16"/>
                <w:lang w:eastAsia="pt-BR"/>
              </w:rPr>
            </w:pPr>
          </w:p>
        </w:tc>
      </w:tr>
    </w:tbl>
    <w:p w14:paraId="30C5D01F" w14:textId="77777777" w:rsidR="00D87550" w:rsidRPr="007D72B9" w:rsidRDefault="00D87550" w:rsidP="00D87550">
      <w:pPr>
        <w:pStyle w:val="PargrafodaLista"/>
        <w:spacing w:before="240" w:after="120" w:line="360" w:lineRule="auto"/>
        <w:ind w:left="0"/>
        <w:contextualSpacing w:val="0"/>
        <w:jc w:val="right"/>
        <w:rPr>
          <w:rFonts w:ascii="Century Schoolbook" w:hAnsi="Century Schoolbook"/>
          <w:sz w:val="20"/>
          <w:szCs w:val="20"/>
        </w:rPr>
      </w:pPr>
    </w:p>
    <w:p w14:paraId="2FCDF0D5" w14:textId="77777777" w:rsidR="00D87550" w:rsidRDefault="00D87550"/>
    <w:p w14:paraId="0A9CDE5E" w14:textId="77777777" w:rsidR="00D87550" w:rsidRDefault="00D87550"/>
    <w:sectPr w:rsidR="00D87550" w:rsidSect="001C6D59">
      <w:headerReference w:type="default" r:id="rId10"/>
      <w:pgSz w:w="11906" w:h="16838"/>
      <w:pgMar w:top="720" w:right="720" w:bottom="720" w:left="720"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9425" w14:textId="77777777" w:rsidR="006C7209" w:rsidRDefault="006C7209" w:rsidP="006C7209">
      <w:pPr>
        <w:spacing w:after="0" w:line="240" w:lineRule="auto"/>
      </w:pPr>
      <w:r>
        <w:separator/>
      </w:r>
    </w:p>
  </w:endnote>
  <w:endnote w:type="continuationSeparator" w:id="0">
    <w:p w14:paraId="07705351" w14:textId="77777777" w:rsidR="006C7209" w:rsidRDefault="006C7209" w:rsidP="006C7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B14B7" w14:textId="77777777" w:rsidR="006C7209" w:rsidRDefault="006C7209" w:rsidP="006C7209">
      <w:pPr>
        <w:spacing w:after="0" w:line="240" w:lineRule="auto"/>
      </w:pPr>
      <w:r>
        <w:separator/>
      </w:r>
    </w:p>
  </w:footnote>
  <w:footnote w:type="continuationSeparator" w:id="0">
    <w:p w14:paraId="31A781BF" w14:textId="77777777" w:rsidR="006C7209" w:rsidRDefault="006C7209" w:rsidP="006C7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Ind w:w="5" w:type="dxa"/>
      <w:tblLook w:val="04A0" w:firstRow="1" w:lastRow="0" w:firstColumn="1" w:lastColumn="0" w:noHBand="0" w:noVBand="1"/>
    </w:tblPr>
    <w:tblGrid>
      <w:gridCol w:w="9736"/>
    </w:tblGrid>
    <w:tr w:rsidR="006C7209" w14:paraId="58A53954" w14:textId="77777777" w:rsidTr="006C7209">
      <w:tc>
        <w:tcPr>
          <w:tcW w:w="9736" w:type="dxa"/>
          <w:tcBorders>
            <w:top w:val="nil"/>
            <w:left w:val="nil"/>
            <w:bottom w:val="nil"/>
            <w:right w:val="nil"/>
          </w:tcBorders>
          <w:vAlign w:val="center"/>
        </w:tcPr>
        <w:p w14:paraId="531B47FB" w14:textId="77777777" w:rsidR="006C7209" w:rsidRDefault="006C7209" w:rsidP="006C7209">
          <w:pPr>
            <w:pStyle w:val="Cabealho"/>
            <w:jc w:val="center"/>
          </w:pPr>
          <w:r w:rsidRPr="006C7209">
            <w:rPr>
              <w:noProof/>
            </w:rPr>
            <w:drawing>
              <wp:inline distT="0" distB="0" distL="0" distR="0" wp14:anchorId="4FAE08CB" wp14:editId="62942B69">
                <wp:extent cx="2349253" cy="864000"/>
                <wp:effectExtent l="0" t="0" r="0" b="0"/>
                <wp:docPr id="2" name="Imagem 2">
                  <a:extLst xmlns:a="http://schemas.openxmlformats.org/drawingml/2006/main">
                    <a:ext uri="{FF2B5EF4-FFF2-40B4-BE49-F238E27FC236}">
                      <a16:creationId xmlns:a16="http://schemas.microsoft.com/office/drawing/2014/main" id="{7B75FDB4-89AB-DA3E-BCEC-2D652931B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a:extLst>
                            <a:ext uri="{FF2B5EF4-FFF2-40B4-BE49-F238E27FC236}">
                              <a16:creationId xmlns:a16="http://schemas.microsoft.com/office/drawing/2014/main" id="{7B75FDB4-89AB-DA3E-BCEC-2D652931BA1E}"/>
                            </a:ext>
                          </a:extLst>
                        </pic:cNvPr>
                        <pic:cNvPicPr>
                          <a:picLocks noChangeAspect="1"/>
                        </pic:cNvPicPr>
                      </pic:nvPicPr>
                      <pic:blipFill>
                        <a:blip r:embed="rId1"/>
                        <a:stretch>
                          <a:fillRect/>
                        </a:stretch>
                      </pic:blipFill>
                      <pic:spPr>
                        <a:xfrm>
                          <a:off x="0" y="0"/>
                          <a:ext cx="2349253" cy="864000"/>
                        </a:xfrm>
                        <a:prstGeom prst="rect">
                          <a:avLst/>
                        </a:prstGeom>
                      </pic:spPr>
                    </pic:pic>
                  </a:graphicData>
                </a:graphic>
              </wp:inline>
            </w:drawing>
          </w:r>
        </w:p>
      </w:tc>
    </w:tr>
  </w:tbl>
  <w:p w14:paraId="559540DA" w14:textId="77777777" w:rsidR="006C7209" w:rsidRDefault="006C720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757"/>
    <w:multiLevelType w:val="hybridMultilevel"/>
    <w:tmpl w:val="FFFFFFFF"/>
    <w:lvl w:ilvl="0" w:tplc="44F6E6FC">
      <w:start w:val="1"/>
      <w:numFmt w:val="lowerLetter"/>
      <w:lvlText w:val="%1)"/>
      <w:lvlJc w:val="left"/>
      <w:pPr>
        <w:ind w:left="720" w:hanging="360"/>
      </w:pPr>
      <w:rPr>
        <w:rFonts w:cs="Times New Roman" w:hint="default"/>
        <w:b w:val="0"/>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888013E"/>
    <w:multiLevelType w:val="multilevel"/>
    <w:tmpl w:val="FFFFFFFF"/>
    <w:lvl w:ilvl="0">
      <w:start w:val="3"/>
      <w:numFmt w:val="decimal"/>
      <w:lvlText w:val="%1"/>
      <w:lvlJc w:val="left"/>
      <w:pPr>
        <w:ind w:left="720" w:hanging="360"/>
      </w:pPr>
      <w:rPr>
        <w:rFonts w:cs="Times New Roman" w:hint="default"/>
      </w:rPr>
    </w:lvl>
    <w:lvl w:ilvl="1">
      <w:start w:val="2"/>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 w15:restartNumberingAfterBreak="0">
    <w:nsid w:val="3AAC06F1"/>
    <w:multiLevelType w:val="hybridMultilevel"/>
    <w:tmpl w:val="FFFFFFFF"/>
    <w:lvl w:ilvl="0" w:tplc="B558606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6CF82726"/>
    <w:multiLevelType w:val="hybridMultilevel"/>
    <w:tmpl w:val="FFFFFFFF"/>
    <w:lvl w:ilvl="0" w:tplc="90AC8BBA">
      <w:start w:val="2"/>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849248148">
    <w:abstractNumId w:val="1"/>
  </w:num>
  <w:num w:numId="2" w16cid:durableId="1977106470">
    <w:abstractNumId w:val="3"/>
  </w:num>
  <w:num w:numId="3" w16cid:durableId="1276254313">
    <w:abstractNumId w:val="2"/>
  </w:num>
  <w:num w:numId="4" w16cid:durableId="836455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550"/>
    <w:rsid w:val="001C6D59"/>
    <w:rsid w:val="006C4F1C"/>
    <w:rsid w:val="006C7209"/>
    <w:rsid w:val="00A80C8F"/>
    <w:rsid w:val="00D875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51F7B3"/>
  <w15:chartTrackingRefBased/>
  <w15:docId w15:val="{FF70F7F9-898F-4FFB-8D33-63F8E885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D87550"/>
    <w:rPr>
      <w:rFonts w:ascii="Calibri" w:hAnsi="Calibri" w:cs="Calibri"/>
      <w:color w:val="000000"/>
      <w:sz w:val="22"/>
      <w:szCs w:val="22"/>
    </w:rPr>
  </w:style>
  <w:style w:type="paragraph" w:styleId="PargrafodaLista">
    <w:name w:val="List Paragraph"/>
    <w:basedOn w:val="Normal"/>
    <w:uiPriority w:val="34"/>
    <w:qFormat/>
    <w:rsid w:val="00D87550"/>
    <w:pPr>
      <w:ind w:left="720"/>
      <w:contextualSpacing/>
    </w:pPr>
    <w:rPr>
      <w:rFonts w:eastAsia="Times New Roman" w:cs="Times New Roman"/>
      <w:kern w:val="2"/>
    </w:rPr>
  </w:style>
  <w:style w:type="table" w:styleId="TabelaSimples5">
    <w:name w:val="Plain Table 5"/>
    <w:basedOn w:val="Tabelanormal"/>
    <w:uiPriority w:val="45"/>
    <w:rsid w:val="00D87550"/>
    <w:pPr>
      <w:spacing w:after="0" w:line="240" w:lineRule="auto"/>
    </w:pPr>
    <w:rPr>
      <w:rFonts w:eastAsia="Times New Roman" w:cs="Times New Roman"/>
      <w:kern w:val="2"/>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SimplesTabela2">
    <w:name w:val="Plain Table 2"/>
    <w:basedOn w:val="Tabelanormal"/>
    <w:uiPriority w:val="42"/>
    <w:rsid w:val="00D87550"/>
    <w:pPr>
      <w:spacing w:after="0" w:line="240" w:lineRule="auto"/>
    </w:pPr>
    <w:rPr>
      <w:rFonts w:eastAsia="Times New Roman" w:cs="Times New Roman"/>
      <w:kern w:val="2"/>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6C72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7209"/>
  </w:style>
  <w:style w:type="paragraph" w:styleId="Rodap">
    <w:name w:val="footer"/>
    <w:basedOn w:val="Normal"/>
    <w:link w:val="RodapChar"/>
    <w:uiPriority w:val="99"/>
    <w:unhideWhenUsed/>
    <w:rsid w:val="006C7209"/>
    <w:pPr>
      <w:tabs>
        <w:tab w:val="center" w:pos="4252"/>
        <w:tab w:val="right" w:pos="8504"/>
      </w:tabs>
      <w:spacing w:after="0" w:line="240" w:lineRule="auto"/>
    </w:pPr>
  </w:style>
  <w:style w:type="character" w:customStyle="1" w:styleId="RodapChar">
    <w:name w:val="Rodapé Char"/>
    <w:basedOn w:val="Fontepargpadro"/>
    <w:link w:val="Rodap"/>
    <w:uiPriority w:val="99"/>
    <w:rsid w:val="006C7209"/>
  </w:style>
  <w:style w:type="table" w:styleId="Tabelacomgrade">
    <w:name w:val="Table Grid"/>
    <w:basedOn w:val="Tabelanormal"/>
    <w:uiPriority w:val="39"/>
    <w:rsid w:val="006C7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8694">
      <w:bodyDiv w:val="1"/>
      <w:marLeft w:val="0"/>
      <w:marRight w:val="0"/>
      <w:marTop w:val="0"/>
      <w:marBottom w:val="0"/>
      <w:divBdr>
        <w:top w:val="none" w:sz="0" w:space="0" w:color="auto"/>
        <w:left w:val="none" w:sz="0" w:space="0" w:color="auto"/>
        <w:bottom w:val="none" w:sz="0" w:space="0" w:color="auto"/>
        <w:right w:val="none" w:sz="0" w:space="0" w:color="auto"/>
      </w:divBdr>
    </w:div>
    <w:div w:id="129135641">
      <w:bodyDiv w:val="1"/>
      <w:marLeft w:val="0"/>
      <w:marRight w:val="0"/>
      <w:marTop w:val="0"/>
      <w:marBottom w:val="0"/>
      <w:divBdr>
        <w:top w:val="none" w:sz="0" w:space="0" w:color="auto"/>
        <w:left w:val="none" w:sz="0" w:space="0" w:color="auto"/>
        <w:bottom w:val="none" w:sz="0" w:space="0" w:color="auto"/>
        <w:right w:val="none" w:sz="0" w:space="0" w:color="auto"/>
      </w:divBdr>
    </w:div>
    <w:div w:id="273488318">
      <w:bodyDiv w:val="1"/>
      <w:marLeft w:val="0"/>
      <w:marRight w:val="0"/>
      <w:marTop w:val="0"/>
      <w:marBottom w:val="0"/>
      <w:divBdr>
        <w:top w:val="none" w:sz="0" w:space="0" w:color="auto"/>
        <w:left w:val="none" w:sz="0" w:space="0" w:color="auto"/>
        <w:bottom w:val="none" w:sz="0" w:space="0" w:color="auto"/>
        <w:right w:val="none" w:sz="0" w:space="0" w:color="auto"/>
      </w:divBdr>
    </w:div>
    <w:div w:id="748966176">
      <w:bodyDiv w:val="1"/>
      <w:marLeft w:val="0"/>
      <w:marRight w:val="0"/>
      <w:marTop w:val="0"/>
      <w:marBottom w:val="0"/>
      <w:divBdr>
        <w:top w:val="none" w:sz="0" w:space="0" w:color="auto"/>
        <w:left w:val="none" w:sz="0" w:space="0" w:color="auto"/>
        <w:bottom w:val="none" w:sz="0" w:space="0" w:color="auto"/>
        <w:right w:val="none" w:sz="0" w:space="0" w:color="auto"/>
      </w:divBdr>
    </w:div>
    <w:div w:id="1248346031">
      <w:bodyDiv w:val="1"/>
      <w:marLeft w:val="0"/>
      <w:marRight w:val="0"/>
      <w:marTop w:val="0"/>
      <w:marBottom w:val="0"/>
      <w:divBdr>
        <w:top w:val="none" w:sz="0" w:space="0" w:color="auto"/>
        <w:left w:val="none" w:sz="0" w:space="0" w:color="auto"/>
        <w:bottom w:val="none" w:sz="0" w:space="0" w:color="auto"/>
        <w:right w:val="none" w:sz="0" w:space="0" w:color="auto"/>
      </w:divBdr>
    </w:div>
    <w:div w:id="1280451468">
      <w:bodyDiv w:val="1"/>
      <w:marLeft w:val="0"/>
      <w:marRight w:val="0"/>
      <w:marTop w:val="0"/>
      <w:marBottom w:val="0"/>
      <w:divBdr>
        <w:top w:val="none" w:sz="0" w:space="0" w:color="auto"/>
        <w:left w:val="none" w:sz="0" w:space="0" w:color="auto"/>
        <w:bottom w:val="none" w:sz="0" w:space="0" w:color="auto"/>
        <w:right w:val="none" w:sz="0" w:space="0" w:color="auto"/>
      </w:divBdr>
    </w:div>
    <w:div w:id="1612085030">
      <w:bodyDiv w:val="1"/>
      <w:marLeft w:val="0"/>
      <w:marRight w:val="0"/>
      <w:marTop w:val="0"/>
      <w:marBottom w:val="0"/>
      <w:divBdr>
        <w:top w:val="none" w:sz="0" w:space="0" w:color="auto"/>
        <w:left w:val="none" w:sz="0" w:space="0" w:color="auto"/>
        <w:bottom w:val="none" w:sz="0" w:space="0" w:color="auto"/>
        <w:right w:val="none" w:sz="0" w:space="0" w:color="auto"/>
      </w:divBdr>
    </w:div>
    <w:div w:id="1702051430">
      <w:bodyDiv w:val="1"/>
      <w:marLeft w:val="0"/>
      <w:marRight w:val="0"/>
      <w:marTop w:val="0"/>
      <w:marBottom w:val="0"/>
      <w:divBdr>
        <w:top w:val="none" w:sz="0" w:space="0" w:color="auto"/>
        <w:left w:val="none" w:sz="0" w:space="0" w:color="auto"/>
        <w:bottom w:val="none" w:sz="0" w:space="0" w:color="auto"/>
        <w:right w:val="none" w:sz="0" w:space="0" w:color="auto"/>
      </w:divBdr>
    </w:div>
    <w:div w:id="1798446709">
      <w:bodyDiv w:val="1"/>
      <w:marLeft w:val="0"/>
      <w:marRight w:val="0"/>
      <w:marTop w:val="0"/>
      <w:marBottom w:val="0"/>
      <w:divBdr>
        <w:top w:val="none" w:sz="0" w:space="0" w:color="auto"/>
        <w:left w:val="none" w:sz="0" w:space="0" w:color="auto"/>
        <w:bottom w:val="none" w:sz="0" w:space="0" w:color="auto"/>
        <w:right w:val="none" w:sz="0" w:space="0" w:color="auto"/>
      </w:divBdr>
    </w:div>
    <w:div w:id="2039115343">
      <w:bodyDiv w:val="1"/>
      <w:marLeft w:val="0"/>
      <w:marRight w:val="0"/>
      <w:marTop w:val="0"/>
      <w:marBottom w:val="0"/>
      <w:divBdr>
        <w:top w:val="none" w:sz="0" w:space="0" w:color="auto"/>
        <w:left w:val="none" w:sz="0" w:space="0" w:color="auto"/>
        <w:bottom w:val="none" w:sz="0" w:space="0" w:color="auto"/>
        <w:right w:val="none" w:sz="0" w:space="0" w:color="auto"/>
      </w:divBdr>
    </w:div>
    <w:div w:id="214541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glerisson.gomes\AppData\Roaming\Microsoft\Excel\BALANCETE%202024%20(version%202).xlsb"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Pasta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Century Schoolbook" panose="02040604050505020304" pitchFamily="18" charset="0"/>
                <a:ea typeface="+mn-ea"/>
                <a:cs typeface="+mn-cs"/>
              </a:defRPr>
            </a:pPr>
            <a:r>
              <a:rPr lang="pt-BR" sz="1000">
                <a:latin typeface="Century Schoolbook" panose="02040604050505020304" pitchFamily="18" charset="0"/>
              </a:rPr>
              <a:t>RECEITAS DE ATIVIDADES OPERACIONAIS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Century Schoolbook" panose="02040604050505020304" pitchFamily="18" charset="0"/>
              <a:ea typeface="+mn-ea"/>
              <a:cs typeface="+mn-cs"/>
            </a:defRPr>
          </a:pPr>
          <a:endParaRPr lang="pt-BR"/>
        </a:p>
      </c:txPr>
    </c:title>
    <c:autoTitleDeleted val="0"/>
    <c:plotArea>
      <c:layout/>
      <c:barChart>
        <c:barDir val="bar"/>
        <c:grouping val="clustered"/>
        <c:varyColors val="0"/>
        <c:ser>
          <c:idx val="0"/>
          <c:order val="0"/>
          <c:tx>
            <c:strRef>
              <c:f>Planilha3!$K$5</c:f>
              <c:strCache>
                <c:ptCount val="1"/>
                <c:pt idx="0">
                  <c:v>2024</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Century Schoolbook" panose="02040604050505020304" pitchFamily="18" charset="0"/>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Planilha3!$J$6:$J$10</c:f>
              <c:strCache>
                <c:ptCount val="5"/>
                <c:pt idx="0">
                  <c:v> Receitas na gestão de créditos</c:v>
                </c:pt>
                <c:pt idx="1">
                  <c:v> Receitas de comercialização</c:v>
                </c:pt>
                <c:pt idx="2">
                  <c:v> Receitas de locação</c:v>
                </c:pt>
                <c:pt idx="3">
                  <c:v> Receitas de intermediação em negócios de terceiros</c:v>
                </c:pt>
                <c:pt idx="4">
                  <c:v> Receitas vinculadas a projetos de terceiros</c:v>
                </c:pt>
              </c:strCache>
            </c:strRef>
          </c:cat>
          <c:val>
            <c:numRef>
              <c:f>Planilha3!$K$6:$K$10</c:f>
              <c:numCache>
                <c:formatCode>#,##0.00</c:formatCode>
                <c:ptCount val="5"/>
                <c:pt idx="0">
                  <c:v>80436.17</c:v>
                </c:pt>
                <c:pt idx="1">
                  <c:v>980905.97</c:v>
                </c:pt>
                <c:pt idx="2">
                  <c:v>136590.70000000001</c:v>
                </c:pt>
                <c:pt idx="3">
                  <c:v>519596.21</c:v>
                </c:pt>
                <c:pt idx="4">
                  <c:v>1716674.35</c:v>
                </c:pt>
              </c:numCache>
            </c:numRef>
          </c:val>
          <c:extLst>
            <c:ext xmlns:c16="http://schemas.microsoft.com/office/drawing/2014/chart" uri="{C3380CC4-5D6E-409C-BE32-E72D297353CC}">
              <c16:uniqueId val="{00000000-DDBD-4456-A9BC-011563738F28}"/>
            </c:ext>
          </c:extLst>
        </c:ser>
        <c:ser>
          <c:idx val="1"/>
          <c:order val="1"/>
          <c:tx>
            <c:strRef>
              <c:f>Planilha3!$L$5</c:f>
              <c:strCache>
                <c:ptCount val="1"/>
                <c:pt idx="0">
                  <c:v>2025</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Century Schoolbook" panose="02040604050505020304" pitchFamily="18" charset="0"/>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Planilha3!$J$6:$J$10</c:f>
              <c:strCache>
                <c:ptCount val="5"/>
                <c:pt idx="0">
                  <c:v> Receitas na gestão de créditos</c:v>
                </c:pt>
                <c:pt idx="1">
                  <c:v> Receitas de comercialização</c:v>
                </c:pt>
                <c:pt idx="2">
                  <c:v> Receitas de locação</c:v>
                </c:pt>
                <c:pt idx="3">
                  <c:v> Receitas de intermediação em negócios de terceiros</c:v>
                </c:pt>
                <c:pt idx="4">
                  <c:v> Receitas vinculadas a projetos de terceiros</c:v>
                </c:pt>
              </c:strCache>
            </c:strRef>
          </c:cat>
          <c:val>
            <c:numRef>
              <c:f>Planilha3!$L$6:$L$10</c:f>
              <c:numCache>
                <c:formatCode>#,##0.00</c:formatCode>
                <c:ptCount val="5"/>
                <c:pt idx="0">
                  <c:v>68907.009999999995</c:v>
                </c:pt>
                <c:pt idx="1">
                  <c:v>653737.93000000005</c:v>
                </c:pt>
                <c:pt idx="2">
                  <c:v>141050.82999999999</c:v>
                </c:pt>
                <c:pt idx="3">
                  <c:v>579705.62</c:v>
                </c:pt>
                <c:pt idx="4">
                  <c:v>6136439.2800000003</c:v>
                </c:pt>
              </c:numCache>
            </c:numRef>
          </c:val>
          <c:extLst>
            <c:ext xmlns:c16="http://schemas.microsoft.com/office/drawing/2014/chart" uri="{C3380CC4-5D6E-409C-BE32-E72D297353CC}">
              <c16:uniqueId val="{00000001-DDBD-4456-A9BC-011563738F28}"/>
            </c:ext>
          </c:extLst>
        </c:ser>
        <c:dLbls>
          <c:dLblPos val="outEnd"/>
          <c:showLegendKey val="0"/>
          <c:showVal val="1"/>
          <c:showCatName val="0"/>
          <c:showSerName val="0"/>
          <c:showPercent val="0"/>
          <c:showBubbleSize val="0"/>
        </c:dLbls>
        <c:gapWidth val="115"/>
        <c:overlap val="-20"/>
        <c:axId val="-205002288"/>
        <c:axId val="-205001200"/>
      </c:barChart>
      <c:catAx>
        <c:axId val="-20500228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Schoolbook" panose="02040604050505020304" pitchFamily="18" charset="0"/>
                <a:ea typeface="+mn-ea"/>
                <a:cs typeface="+mn-cs"/>
              </a:defRPr>
            </a:pPr>
            <a:endParaRPr lang="pt-BR"/>
          </a:p>
        </c:txPr>
        <c:crossAx val="-205001200"/>
        <c:crosses val="autoZero"/>
        <c:auto val="1"/>
        <c:lblAlgn val="ctr"/>
        <c:lblOffset val="100"/>
        <c:noMultiLvlLbl val="0"/>
      </c:catAx>
      <c:valAx>
        <c:axId val="-205001200"/>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205002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entury Schoolbook" panose="02040604050505020304" pitchFamily="18" charset="0"/>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sz="1000">
                <a:latin typeface="Century Schoolbook" panose="02040604050505020304" pitchFamily="18" charset="0"/>
              </a:rPr>
              <a:t>DESPESAS GERAIS E ADMINISTRATIVAS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Planilha1!$C$3</c:f>
              <c:strCache>
                <c:ptCount val="1"/>
                <c:pt idx="0">
                  <c:v>2024</c:v>
                </c:pt>
              </c:strCache>
            </c:strRef>
          </c:tx>
          <c:spPr>
            <a:solidFill>
              <a:schemeClr val="accent1"/>
            </a:solidFill>
            <a:ln>
              <a:noFill/>
            </a:ln>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600" b="0" i="0" u="none" strike="noStrike" kern="1200" baseline="0">
                    <a:solidFill>
                      <a:schemeClr val="tx1">
                        <a:lumMod val="75000"/>
                        <a:lumOff val="25000"/>
                      </a:schemeClr>
                    </a:solidFill>
                    <a:latin typeface="Century Schoolbook" panose="02040604050505020304" pitchFamily="18" charset="0"/>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Planilha1!$B$4:$B$9</c:f>
              <c:strCache>
                <c:ptCount val="6"/>
                <c:pt idx="0">
                  <c:v>Despesas de pessoal</c:v>
                </c:pt>
                <c:pt idx="1">
                  <c:v>Encargos sociais</c:v>
                </c:pt>
                <c:pt idx="2">
                  <c:v>Serviços de terceiros</c:v>
                </c:pt>
                <c:pt idx="3">
                  <c:v>Despesas com materiais</c:v>
                </c:pt>
                <c:pt idx="4">
                  <c:v>Encargos diversos</c:v>
                </c:pt>
                <c:pt idx="5">
                  <c:v>Despesas com patrocínios</c:v>
                </c:pt>
              </c:strCache>
            </c:strRef>
          </c:cat>
          <c:val>
            <c:numRef>
              <c:f>Planilha1!$C$4:$C$9</c:f>
              <c:numCache>
                <c:formatCode>#,##0</c:formatCode>
                <c:ptCount val="6"/>
                <c:pt idx="0">
                  <c:v>38374674</c:v>
                </c:pt>
                <c:pt idx="1">
                  <c:v>11302369</c:v>
                </c:pt>
                <c:pt idx="2">
                  <c:v>10519819</c:v>
                </c:pt>
                <c:pt idx="3">
                  <c:v>104082</c:v>
                </c:pt>
                <c:pt idx="4">
                  <c:v>3202785</c:v>
                </c:pt>
                <c:pt idx="5">
                  <c:v>400000</c:v>
                </c:pt>
              </c:numCache>
            </c:numRef>
          </c:val>
          <c:extLst>
            <c:ext xmlns:c16="http://schemas.microsoft.com/office/drawing/2014/chart" uri="{C3380CC4-5D6E-409C-BE32-E72D297353CC}">
              <c16:uniqueId val="{00000000-AC7F-422A-922A-0E3DF2E3DB4E}"/>
            </c:ext>
          </c:extLst>
        </c:ser>
        <c:ser>
          <c:idx val="1"/>
          <c:order val="1"/>
          <c:tx>
            <c:strRef>
              <c:f>Planilha1!$F$3</c:f>
              <c:strCache>
                <c:ptCount val="1"/>
                <c:pt idx="0">
                  <c:v>2025</c:v>
                </c:pt>
              </c:strCache>
            </c:strRef>
          </c:tx>
          <c:spPr>
            <a:solidFill>
              <a:schemeClr val="accent2"/>
            </a:solidFill>
            <a:ln>
              <a:noFill/>
            </a:ln>
            <a:effectLst/>
            <a:sp3d/>
          </c:spPr>
          <c:invertIfNegative val="0"/>
          <c:dLbls>
            <c:spPr>
              <a:noFill/>
              <a:ln>
                <a:noFill/>
              </a:ln>
              <a:effectLst/>
            </c:spPr>
            <c:txPr>
              <a:bodyPr rot="-5400000" spcFirstLastPara="1" vertOverflow="ellipsis" wrap="square" lIns="38100" tIns="19050" rIns="38100" bIns="19050" anchor="ctr" anchorCtr="0">
                <a:spAutoFit/>
              </a:bodyPr>
              <a:lstStyle/>
              <a:p>
                <a:pPr>
                  <a:defRPr sz="600" b="0" i="0" u="none" strike="noStrike" kern="1200" baseline="0">
                    <a:solidFill>
                      <a:schemeClr val="tx1">
                        <a:lumMod val="75000"/>
                        <a:lumOff val="25000"/>
                      </a:schemeClr>
                    </a:solidFill>
                    <a:latin typeface="Century Schoolbook" panose="02040604050505020304" pitchFamily="18" charset="0"/>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Planilha1!$B$4:$B$9</c:f>
              <c:strCache>
                <c:ptCount val="6"/>
                <c:pt idx="0">
                  <c:v>Despesas de pessoal</c:v>
                </c:pt>
                <c:pt idx="1">
                  <c:v>Encargos sociais</c:v>
                </c:pt>
                <c:pt idx="2">
                  <c:v>Serviços de terceiros</c:v>
                </c:pt>
                <c:pt idx="3">
                  <c:v>Despesas com materiais</c:v>
                </c:pt>
                <c:pt idx="4">
                  <c:v>Encargos diversos</c:v>
                </c:pt>
                <c:pt idx="5">
                  <c:v>Despesas com patrocínios</c:v>
                </c:pt>
              </c:strCache>
            </c:strRef>
          </c:cat>
          <c:val>
            <c:numRef>
              <c:f>Planilha1!$F$4:$F$9</c:f>
              <c:numCache>
                <c:formatCode>#,##0</c:formatCode>
                <c:ptCount val="6"/>
                <c:pt idx="0">
                  <c:v>36998406.850000001</c:v>
                </c:pt>
                <c:pt idx="1">
                  <c:v>11159996.24</c:v>
                </c:pt>
                <c:pt idx="2">
                  <c:v>19818246.329999998</c:v>
                </c:pt>
                <c:pt idx="3">
                  <c:v>77504.899999999994</c:v>
                </c:pt>
                <c:pt idx="4">
                  <c:v>289332.61</c:v>
                </c:pt>
              </c:numCache>
            </c:numRef>
          </c:val>
          <c:extLst>
            <c:ext xmlns:c16="http://schemas.microsoft.com/office/drawing/2014/chart" uri="{C3380CC4-5D6E-409C-BE32-E72D297353CC}">
              <c16:uniqueId val="{00000001-AC7F-422A-922A-0E3DF2E3DB4E}"/>
            </c:ext>
          </c:extLst>
        </c:ser>
        <c:dLbls>
          <c:showLegendKey val="0"/>
          <c:showVal val="1"/>
          <c:showCatName val="0"/>
          <c:showSerName val="0"/>
          <c:showPercent val="0"/>
          <c:showBubbleSize val="0"/>
        </c:dLbls>
        <c:gapWidth val="150"/>
        <c:shape val="box"/>
        <c:axId val="-204994128"/>
        <c:axId val="-204995216"/>
        <c:axId val="0"/>
      </c:bar3DChart>
      <c:catAx>
        <c:axId val="-2049941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entury Schoolbook" panose="02040604050505020304" pitchFamily="18" charset="0"/>
                <a:ea typeface="+mn-ea"/>
                <a:cs typeface="+mn-cs"/>
              </a:defRPr>
            </a:pPr>
            <a:endParaRPr lang="pt-BR"/>
          </a:p>
        </c:txPr>
        <c:crossAx val="-204995216"/>
        <c:crosses val="autoZero"/>
        <c:auto val="1"/>
        <c:lblAlgn val="ctr"/>
        <c:lblOffset val="100"/>
        <c:noMultiLvlLbl val="0"/>
      </c:catAx>
      <c:valAx>
        <c:axId val="-204995216"/>
        <c:scaling>
          <c:orientation val="minMax"/>
        </c:scaling>
        <c:delete val="1"/>
        <c:axPos val="l"/>
        <c:numFmt formatCode="#,##0" sourceLinked="1"/>
        <c:majorTickMark val="none"/>
        <c:minorTickMark val="none"/>
        <c:tickLblPos val="nextTo"/>
        <c:crossAx val="-2049941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entury Schoolbook" panose="02040604050505020304" pitchFamily="18" charset="0"/>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sz="1200">
                <a:latin typeface="Century Schoolbook" panose="02040604050505020304" pitchFamily="18" charset="0"/>
              </a:rPr>
              <a:t>DESPESAS COM SERVIÇOS DE TERCEIROS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Planilha2!$B$1</c:f>
              <c:strCache>
                <c:ptCount val="1"/>
                <c:pt idx="0">
                  <c:v>2024</c:v>
                </c:pt>
              </c:strCache>
            </c:strRef>
          </c:tx>
          <c:spPr>
            <a:solidFill>
              <a:schemeClr val="accent1"/>
            </a:solidFill>
            <a:ln>
              <a:noFill/>
            </a:ln>
            <a:effectLst/>
            <a:sp3d/>
          </c:spPr>
          <c:invertIfNegative val="0"/>
          <c:cat>
            <c:strRef>
              <c:f>Planilha2!$A$2:$A$30</c:f>
              <c:strCache>
                <c:ptCount val="29"/>
                <c:pt idx="0">
                  <c:v>Processamento eletron.de dados</c:v>
                </c:pt>
                <c:pt idx="1">
                  <c:v>Conservação de bens moveis</c:v>
                </c:pt>
                <c:pt idx="2">
                  <c:v>Manutenção e conservação de bens imóveis</c:v>
                </c:pt>
                <c:pt idx="3">
                  <c:v>Diárias/passagens</c:v>
                </c:pt>
                <c:pt idx="4">
                  <c:v>Locação de bens e despesas de condomínio </c:v>
                </c:pt>
                <c:pt idx="5">
                  <c:v>Serviços técnicos contratadas</c:v>
                </c:pt>
                <c:pt idx="6">
                  <c:v>Serviços de processamento de dados</c:v>
                </c:pt>
                <c:pt idx="7">
                  <c:v>Serviços de telefonia e internet</c:v>
                </c:pt>
                <c:pt idx="8">
                  <c:v>Postais telegramas e correlatos</c:v>
                </c:pt>
                <c:pt idx="9">
                  <c:v>Serviços de consultoria</c:v>
                </c:pt>
                <c:pt idx="10">
                  <c:v>Serviços de divulgação</c:v>
                </c:pt>
                <c:pt idx="11">
                  <c:v>Tarifas de água e esgoto</c:v>
                </c:pt>
                <c:pt idx="12">
                  <c:v>Luz, força e gás</c:v>
                </c:pt>
                <c:pt idx="13">
                  <c:v>Honorários advocatícios</c:v>
                </c:pt>
                <c:pt idx="14">
                  <c:v>Ticket refeição</c:v>
                </c:pt>
                <c:pt idx="15">
                  <c:v>Taxas e emolumentos</c:v>
                </c:pt>
                <c:pt idx="16">
                  <c:v>Serviços de catalogação, digitalização e restauro de documentos</c:v>
                </c:pt>
                <c:pt idx="17">
                  <c:v>Serviço contratado/ticket combustível</c:v>
                </c:pt>
                <c:pt idx="18">
                  <c:v>Locação de mão-de-obra temporária</c:v>
                </c:pt>
                <c:pt idx="19">
                  <c:v>Serviços de limpeza</c:v>
                </c:pt>
                <c:pt idx="20">
                  <c:v>Serviço de mobilidade urbana</c:v>
                </c:pt>
                <c:pt idx="21">
                  <c:v>Assinaturas de cursos e treinamentos</c:v>
                </c:pt>
                <c:pt idx="22">
                  <c:v>Serviços gráficos</c:v>
                </c:pt>
                <c:pt idx="23">
                  <c:v>Cessão de licença de uso de softwares</c:v>
                </c:pt>
                <c:pt idx="24">
                  <c:v>Confraternizações e festas</c:v>
                </c:pt>
                <c:pt idx="25">
                  <c:v>Segurança e vigilância eletrônica</c:v>
                </c:pt>
                <c:pt idx="26">
                  <c:v>Serviço de vigilância diurno e noturno</c:v>
                </c:pt>
                <c:pt idx="27">
                  <c:v>Dedetização e controle de pragas</c:v>
                </c:pt>
                <c:pt idx="28">
                  <c:v>Organização de feiras, exposições e eventos</c:v>
                </c:pt>
              </c:strCache>
            </c:strRef>
          </c:cat>
          <c:val>
            <c:numRef>
              <c:f>Planilha2!$B$2:$B$30</c:f>
              <c:numCache>
                <c:formatCode>#,##0.00</c:formatCode>
                <c:ptCount val="29"/>
                <c:pt idx="0" formatCode="General">
                  <c:v>753.56</c:v>
                </c:pt>
                <c:pt idx="1">
                  <c:v>119167</c:v>
                </c:pt>
                <c:pt idx="2">
                  <c:v>106000</c:v>
                </c:pt>
                <c:pt idx="3">
                  <c:v>298219.19</c:v>
                </c:pt>
                <c:pt idx="4">
                  <c:v>1338489.32</c:v>
                </c:pt>
                <c:pt idx="5">
                  <c:v>73665.83</c:v>
                </c:pt>
                <c:pt idx="7">
                  <c:v>3916.9</c:v>
                </c:pt>
                <c:pt idx="8">
                  <c:v>3150.53</c:v>
                </c:pt>
                <c:pt idx="9" formatCode="General">
                  <c:v>710</c:v>
                </c:pt>
                <c:pt idx="10">
                  <c:v>16500</c:v>
                </c:pt>
                <c:pt idx="11">
                  <c:v>35468.43</c:v>
                </c:pt>
                <c:pt idx="12">
                  <c:v>233884.27</c:v>
                </c:pt>
                <c:pt idx="13">
                  <c:v>35075.15</c:v>
                </c:pt>
                <c:pt idx="14">
                  <c:v>2105400</c:v>
                </c:pt>
                <c:pt idx="15">
                  <c:v>3933.94</c:v>
                </c:pt>
                <c:pt idx="16">
                  <c:v>1166240.2</c:v>
                </c:pt>
                <c:pt idx="17">
                  <c:v>29707.7</c:v>
                </c:pt>
                <c:pt idx="18">
                  <c:v>736614.04</c:v>
                </c:pt>
                <c:pt idx="19">
                  <c:v>285681.26</c:v>
                </c:pt>
                <c:pt idx="20">
                  <c:v>58080.77</c:v>
                </c:pt>
                <c:pt idx="21">
                  <c:v>24060</c:v>
                </c:pt>
                <c:pt idx="22">
                  <c:v>175696</c:v>
                </c:pt>
                <c:pt idx="23">
                  <c:v>158351.73000000001</c:v>
                </c:pt>
                <c:pt idx="24" formatCode="General">
                  <c:v>0</c:v>
                </c:pt>
                <c:pt idx="25">
                  <c:v>2991068</c:v>
                </c:pt>
                <c:pt idx="28">
                  <c:v>519985</c:v>
                </c:pt>
              </c:numCache>
            </c:numRef>
          </c:val>
          <c:extLst>
            <c:ext xmlns:c16="http://schemas.microsoft.com/office/drawing/2014/chart" uri="{C3380CC4-5D6E-409C-BE32-E72D297353CC}">
              <c16:uniqueId val="{00000000-C71F-4A3C-8218-18E5716E1821}"/>
            </c:ext>
          </c:extLst>
        </c:ser>
        <c:ser>
          <c:idx val="1"/>
          <c:order val="1"/>
          <c:tx>
            <c:strRef>
              <c:f>Planilha2!$C$1</c:f>
              <c:strCache>
                <c:ptCount val="1"/>
                <c:pt idx="0">
                  <c:v>2025</c:v>
                </c:pt>
              </c:strCache>
            </c:strRef>
          </c:tx>
          <c:spPr>
            <a:solidFill>
              <a:schemeClr val="accent2"/>
            </a:solidFill>
            <a:ln>
              <a:noFill/>
            </a:ln>
            <a:effectLst/>
            <a:sp3d/>
          </c:spPr>
          <c:invertIfNegative val="0"/>
          <c:cat>
            <c:strRef>
              <c:f>Planilha2!$A$2:$A$30</c:f>
              <c:strCache>
                <c:ptCount val="29"/>
                <c:pt idx="0">
                  <c:v>Processamento eletron.de dados</c:v>
                </c:pt>
                <c:pt idx="1">
                  <c:v>Conservação de bens moveis</c:v>
                </c:pt>
                <c:pt idx="2">
                  <c:v>Manutenção e conservação de bens imóveis</c:v>
                </c:pt>
                <c:pt idx="3">
                  <c:v>Diárias/passagens</c:v>
                </c:pt>
                <c:pt idx="4">
                  <c:v>Locação de bens e despesas de condomínio </c:v>
                </c:pt>
                <c:pt idx="5">
                  <c:v>Serviços técnicos contratadas</c:v>
                </c:pt>
                <c:pt idx="6">
                  <c:v>Serviços de processamento de dados</c:v>
                </c:pt>
                <c:pt idx="7">
                  <c:v>Serviços de telefonia e internet</c:v>
                </c:pt>
                <c:pt idx="8">
                  <c:v>Postais telegramas e correlatos</c:v>
                </c:pt>
                <c:pt idx="9">
                  <c:v>Serviços de consultoria</c:v>
                </c:pt>
                <c:pt idx="10">
                  <c:v>Serviços de divulgação</c:v>
                </c:pt>
                <c:pt idx="11">
                  <c:v>Tarifas de água e esgoto</c:v>
                </c:pt>
                <c:pt idx="12">
                  <c:v>Luz, força e gás</c:v>
                </c:pt>
                <c:pt idx="13">
                  <c:v>Honorários advocatícios</c:v>
                </c:pt>
                <c:pt idx="14">
                  <c:v>Ticket refeição</c:v>
                </c:pt>
                <c:pt idx="15">
                  <c:v>Taxas e emolumentos</c:v>
                </c:pt>
                <c:pt idx="16">
                  <c:v>Serviços de catalogação, digitalização e restauro de documentos</c:v>
                </c:pt>
                <c:pt idx="17">
                  <c:v>Serviço contratado/ticket combustível</c:v>
                </c:pt>
                <c:pt idx="18">
                  <c:v>Locação de mão-de-obra temporária</c:v>
                </c:pt>
                <c:pt idx="19">
                  <c:v>Serviços de limpeza</c:v>
                </c:pt>
                <c:pt idx="20">
                  <c:v>Serviço de mobilidade urbana</c:v>
                </c:pt>
                <c:pt idx="21">
                  <c:v>Assinaturas de cursos e treinamentos</c:v>
                </c:pt>
                <c:pt idx="22">
                  <c:v>Serviços gráficos</c:v>
                </c:pt>
                <c:pt idx="23">
                  <c:v>Cessão de licença de uso de softwares</c:v>
                </c:pt>
                <c:pt idx="24">
                  <c:v>Confraternizações e festas</c:v>
                </c:pt>
                <c:pt idx="25">
                  <c:v>Segurança e vigilância eletrônica</c:v>
                </c:pt>
                <c:pt idx="26">
                  <c:v>Serviço de vigilância diurno e noturno</c:v>
                </c:pt>
                <c:pt idx="27">
                  <c:v>Dedetização e controle de pragas</c:v>
                </c:pt>
                <c:pt idx="28">
                  <c:v>Organização de feiras, exposições e eventos</c:v>
                </c:pt>
              </c:strCache>
            </c:strRef>
          </c:cat>
          <c:val>
            <c:numRef>
              <c:f>Planilha2!$C$2:$C$30</c:f>
              <c:numCache>
                <c:formatCode>#,##0.00</c:formatCode>
                <c:ptCount val="29"/>
                <c:pt idx="0">
                  <c:v>1170</c:v>
                </c:pt>
                <c:pt idx="1">
                  <c:v>160600</c:v>
                </c:pt>
                <c:pt idx="2">
                  <c:v>302695.90999999997</c:v>
                </c:pt>
                <c:pt idx="3">
                  <c:v>477097.51</c:v>
                </c:pt>
                <c:pt idx="4">
                  <c:v>1643510.79</c:v>
                </c:pt>
                <c:pt idx="5">
                  <c:v>67667.14</c:v>
                </c:pt>
                <c:pt idx="6">
                  <c:v>22285.200000000001</c:v>
                </c:pt>
                <c:pt idx="7">
                  <c:v>3954.98</c:v>
                </c:pt>
                <c:pt idx="8">
                  <c:v>2767.13</c:v>
                </c:pt>
                <c:pt idx="9">
                  <c:v>29700</c:v>
                </c:pt>
                <c:pt idx="11">
                  <c:v>39238.699999999997</c:v>
                </c:pt>
                <c:pt idx="12">
                  <c:v>303902.05</c:v>
                </c:pt>
                <c:pt idx="13">
                  <c:v>86581.91</c:v>
                </c:pt>
                <c:pt idx="14">
                  <c:v>2700080</c:v>
                </c:pt>
                <c:pt idx="15">
                  <c:v>29520</c:v>
                </c:pt>
                <c:pt idx="16">
                  <c:v>3030837.13</c:v>
                </c:pt>
                <c:pt idx="17">
                  <c:v>39138.629999999997</c:v>
                </c:pt>
                <c:pt idx="18">
                  <c:v>392498.7</c:v>
                </c:pt>
                <c:pt idx="19">
                  <c:v>22308.5</c:v>
                </c:pt>
                <c:pt idx="20">
                  <c:v>62867.09</c:v>
                </c:pt>
                <c:pt idx="21">
                  <c:v>99079</c:v>
                </c:pt>
                <c:pt idx="22">
                  <c:v>266439.09999999998</c:v>
                </c:pt>
                <c:pt idx="23">
                  <c:v>540509.06000000006</c:v>
                </c:pt>
                <c:pt idx="24">
                  <c:v>18990</c:v>
                </c:pt>
                <c:pt idx="25">
                  <c:v>4874206.8</c:v>
                </c:pt>
                <c:pt idx="26">
                  <c:v>3149039.05</c:v>
                </c:pt>
                <c:pt idx="27">
                  <c:v>13027.59</c:v>
                </c:pt>
                <c:pt idx="28">
                  <c:v>1438534.36</c:v>
                </c:pt>
              </c:numCache>
            </c:numRef>
          </c:val>
          <c:extLst>
            <c:ext xmlns:c16="http://schemas.microsoft.com/office/drawing/2014/chart" uri="{C3380CC4-5D6E-409C-BE32-E72D297353CC}">
              <c16:uniqueId val="{00000001-C71F-4A3C-8218-18E5716E1821}"/>
            </c:ext>
          </c:extLst>
        </c:ser>
        <c:dLbls>
          <c:showLegendKey val="0"/>
          <c:showVal val="0"/>
          <c:showCatName val="0"/>
          <c:showSerName val="0"/>
          <c:showPercent val="0"/>
          <c:showBubbleSize val="0"/>
        </c:dLbls>
        <c:gapWidth val="150"/>
        <c:shape val="box"/>
        <c:axId val="-204993040"/>
        <c:axId val="-205001744"/>
        <c:axId val="0"/>
      </c:bar3DChart>
      <c:catAx>
        <c:axId val="-2049930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Century Schoolbook" panose="02040604050505020304" pitchFamily="18" charset="0"/>
                <a:ea typeface="+mn-ea"/>
                <a:cs typeface="+mn-cs"/>
              </a:defRPr>
            </a:pPr>
            <a:endParaRPr lang="pt-BR"/>
          </a:p>
        </c:txPr>
        <c:crossAx val="-205001744"/>
        <c:crosses val="autoZero"/>
        <c:auto val="1"/>
        <c:lblAlgn val="ctr"/>
        <c:lblOffset val="100"/>
        <c:noMultiLvlLbl val="0"/>
      </c:catAx>
      <c:valAx>
        <c:axId val="-205001744"/>
        <c:scaling>
          <c:orientation val="minMax"/>
        </c:scaling>
        <c:delete val="1"/>
        <c:axPos val="l"/>
        <c:numFmt formatCode="General" sourceLinked="1"/>
        <c:majorTickMark val="none"/>
        <c:minorTickMark val="none"/>
        <c:tickLblPos val="nextTo"/>
        <c:crossAx val="-2049930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entury Schoolbook" panose="02040604050505020304" pitchFamily="18" charset="0"/>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TotalTime>
  <Pages>24</Pages>
  <Words>7377</Words>
  <Characters>39841</Characters>
  <Application>Microsoft Office Word</Application>
  <DocSecurity>0</DocSecurity>
  <Lines>332</Lines>
  <Paragraphs>94</Paragraphs>
  <ScaleCrop>false</ScaleCrop>
  <Company/>
  <LinksUpToDate>false</LinksUpToDate>
  <CharactersWithSpaces>47124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MAPA VIDEO-CONFERENCIA</cp:lastModifiedBy>
  <cp:revision>3</cp:revision>
  <dcterms:created xsi:type="dcterms:W3CDTF">2026-04-07T20:44:00Z</dcterms:created>
  <dcterms:modified xsi:type="dcterms:W3CDTF">2026-05-13T19:11:00Z</dcterms:modified>
</cp:coreProperties>
</file>